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7C" w:rsidRPr="00280E90" w:rsidRDefault="00FC257C" w:rsidP="00741387">
      <w:pPr>
        <w:rPr>
          <w:rFonts w:ascii="Trebuchet MS" w:hAnsi="Trebuchet MS"/>
        </w:rPr>
      </w:pPr>
    </w:p>
    <w:p w:rsidR="004D7303" w:rsidRPr="00280E90" w:rsidRDefault="004D7303" w:rsidP="007B321F">
      <w:pPr>
        <w:rPr>
          <w:rFonts w:ascii="Trebuchet MS" w:hAnsi="Trebuchet MS"/>
          <w:sz w:val="16"/>
          <w:szCs w:val="16"/>
        </w:rPr>
      </w:pPr>
    </w:p>
    <w:tbl>
      <w:tblPr>
        <w:tblStyle w:val="TableGrid"/>
        <w:tblpPr w:leftFromText="180" w:rightFromText="180" w:vertAnchor="text" w:horzAnchor="margin" w:tblpXSpec="right" w:tblpY="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tblGrid>
      <w:tr w:rsidR="00482941" w:rsidRPr="00280E90" w:rsidTr="001D540C">
        <w:trPr>
          <w:trHeight w:val="366"/>
        </w:trPr>
        <w:tc>
          <w:tcPr>
            <w:tcW w:w="4804" w:type="dxa"/>
            <w:tcBorders>
              <w:left w:val="single" w:sz="4" w:space="0" w:color="auto"/>
            </w:tcBorders>
          </w:tcPr>
          <w:p w:rsidR="00482941" w:rsidRPr="00B52516" w:rsidRDefault="009111D2" w:rsidP="001D540C">
            <w:pPr>
              <w:jc w:val="both"/>
              <w:rPr>
                <w:rFonts w:ascii="Trebuchet MS" w:hAnsi="Trebuchet MS"/>
                <w:sz w:val="20"/>
                <w:szCs w:val="20"/>
              </w:rPr>
            </w:pPr>
            <w:r w:rsidRPr="00B52516">
              <w:rPr>
                <w:rFonts w:ascii="Trebuchet MS" w:hAnsi="Trebuchet MS"/>
                <w:b/>
                <w:sz w:val="20"/>
                <w:szCs w:val="20"/>
              </w:rPr>
              <w:t>The</w:t>
            </w:r>
            <w:r w:rsidRPr="00B52516">
              <w:rPr>
                <w:rFonts w:ascii="Trebuchet MS" w:hAnsi="Trebuchet MS"/>
                <w:b/>
                <w:spacing w:val="-9"/>
                <w:sz w:val="20"/>
                <w:szCs w:val="20"/>
              </w:rPr>
              <w:t xml:space="preserve"> </w:t>
            </w:r>
            <w:r w:rsidRPr="00B52516">
              <w:rPr>
                <w:rFonts w:ascii="Trebuchet MS" w:hAnsi="Trebuchet MS"/>
                <w:b/>
                <w:sz w:val="20"/>
                <w:szCs w:val="20"/>
              </w:rPr>
              <w:t>project</w:t>
            </w:r>
            <w:r w:rsidRPr="00B52516">
              <w:rPr>
                <w:rFonts w:ascii="Trebuchet MS" w:hAnsi="Trebuchet MS"/>
                <w:b/>
                <w:spacing w:val="-9"/>
                <w:sz w:val="20"/>
                <w:szCs w:val="20"/>
              </w:rPr>
              <w:t xml:space="preserve"> </w:t>
            </w:r>
            <w:r w:rsidRPr="00B52516">
              <w:rPr>
                <w:rFonts w:ascii="Trebuchet MS" w:hAnsi="Trebuchet MS"/>
                <w:b/>
                <w:sz w:val="20"/>
                <w:szCs w:val="20"/>
              </w:rPr>
              <w:t xml:space="preserve">“Adapting </w:t>
            </w:r>
            <w:r w:rsidRPr="00B52516">
              <w:rPr>
                <w:rFonts w:ascii="Trebuchet MS" w:hAnsi="Trebuchet MS"/>
                <w:b/>
                <w:color w:val="FF0000"/>
                <w:sz w:val="20"/>
                <w:szCs w:val="20"/>
              </w:rPr>
              <w:t>VITI</w:t>
            </w:r>
            <w:r w:rsidRPr="00B52516">
              <w:rPr>
                <w:rFonts w:ascii="Trebuchet MS" w:hAnsi="Trebuchet MS"/>
                <w:b/>
                <w:sz w:val="20"/>
                <w:szCs w:val="20"/>
              </w:rPr>
              <w:t xml:space="preserve">culture to </w:t>
            </w:r>
            <w:r w:rsidRPr="00B52516">
              <w:rPr>
                <w:rFonts w:ascii="Trebuchet MS" w:hAnsi="Trebuchet MS"/>
                <w:b/>
                <w:color w:val="FF0000"/>
                <w:sz w:val="20"/>
                <w:szCs w:val="20"/>
              </w:rPr>
              <w:t>CLIM</w:t>
            </w:r>
            <w:r w:rsidRPr="00B52516">
              <w:rPr>
                <w:rFonts w:ascii="Trebuchet MS" w:hAnsi="Trebuchet MS"/>
                <w:b/>
                <w:sz w:val="20"/>
                <w:szCs w:val="20"/>
              </w:rPr>
              <w:t>ate change by implementing ecosystem-based measures to maintain economic viability” is co-funded by the European Union from the European Regional Development Fund in the ramework</w:t>
            </w:r>
            <w:r w:rsidRPr="00B52516">
              <w:rPr>
                <w:rFonts w:ascii="Trebuchet MS" w:hAnsi="Trebuchet MS"/>
                <w:b/>
                <w:spacing w:val="-7"/>
                <w:sz w:val="20"/>
                <w:szCs w:val="20"/>
              </w:rPr>
              <w:t xml:space="preserve"> </w:t>
            </w:r>
            <w:r w:rsidRPr="00B52516">
              <w:rPr>
                <w:rFonts w:ascii="Trebuchet MS" w:hAnsi="Trebuchet MS"/>
                <w:b/>
                <w:sz w:val="20"/>
                <w:szCs w:val="20"/>
              </w:rPr>
              <w:t>of</w:t>
            </w:r>
            <w:r w:rsidRPr="00B52516">
              <w:rPr>
                <w:rFonts w:ascii="Trebuchet MS" w:hAnsi="Trebuchet MS"/>
                <w:b/>
                <w:spacing w:val="-6"/>
                <w:sz w:val="20"/>
                <w:szCs w:val="20"/>
              </w:rPr>
              <w:t xml:space="preserve"> </w:t>
            </w:r>
            <w:r w:rsidRPr="00B52516">
              <w:rPr>
                <w:rFonts w:ascii="Trebuchet MS" w:hAnsi="Trebuchet MS"/>
                <w:b/>
                <w:sz w:val="20"/>
                <w:szCs w:val="20"/>
              </w:rPr>
              <w:t>the</w:t>
            </w:r>
            <w:r w:rsidRPr="00B52516">
              <w:rPr>
                <w:rFonts w:ascii="Trebuchet MS" w:hAnsi="Trebuchet MS"/>
                <w:b/>
                <w:spacing w:val="-5"/>
                <w:sz w:val="20"/>
                <w:szCs w:val="20"/>
              </w:rPr>
              <w:t xml:space="preserve"> </w:t>
            </w:r>
            <w:r w:rsidRPr="00B52516">
              <w:rPr>
                <w:rFonts w:ascii="Trebuchet MS" w:hAnsi="Trebuchet MS"/>
                <w:b/>
                <w:sz w:val="20"/>
                <w:szCs w:val="20"/>
              </w:rPr>
              <w:t>Interreg</w:t>
            </w:r>
            <w:r w:rsidRPr="00B52516">
              <w:rPr>
                <w:rFonts w:ascii="Trebuchet MS" w:hAnsi="Trebuchet MS"/>
                <w:b/>
                <w:spacing w:val="-7"/>
                <w:sz w:val="20"/>
                <w:szCs w:val="20"/>
              </w:rPr>
              <w:t xml:space="preserve"> </w:t>
            </w:r>
            <w:r w:rsidRPr="00B52516">
              <w:rPr>
                <w:rFonts w:ascii="Trebuchet MS" w:hAnsi="Trebuchet MS"/>
                <w:b/>
                <w:sz w:val="20"/>
                <w:szCs w:val="20"/>
              </w:rPr>
              <w:t>VI-A</w:t>
            </w:r>
            <w:r w:rsidRPr="00B52516">
              <w:rPr>
                <w:rFonts w:ascii="Trebuchet MS" w:hAnsi="Trebuchet MS"/>
                <w:b/>
                <w:spacing w:val="-20"/>
                <w:sz w:val="20"/>
                <w:szCs w:val="20"/>
              </w:rPr>
              <w:t xml:space="preserve"> </w:t>
            </w:r>
            <w:r w:rsidRPr="00B52516">
              <w:rPr>
                <w:rFonts w:ascii="Trebuchet MS" w:hAnsi="Trebuchet MS"/>
                <w:b/>
                <w:sz w:val="20"/>
                <w:szCs w:val="20"/>
              </w:rPr>
              <w:t>Romania</w:t>
            </w:r>
            <w:r w:rsidRPr="00B52516">
              <w:rPr>
                <w:rFonts w:ascii="Trebuchet MS" w:hAnsi="Trebuchet MS"/>
                <w:b/>
                <w:spacing w:val="-6"/>
                <w:sz w:val="20"/>
                <w:szCs w:val="20"/>
              </w:rPr>
              <w:t xml:space="preserve"> </w:t>
            </w:r>
            <w:r w:rsidRPr="00B52516">
              <w:rPr>
                <w:rFonts w:ascii="Trebuchet MS" w:hAnsi="Trebuchet MS"/>
                <w:b/>
                <w:sz w:val="20"/>
                <w:szCs w:val="20"/>
              </w:rPr>
              <w:t>–</w:t>
            </w:r>
            <w:r w:rsidRPr="00B52516">
              <w:rPr>
                <w:rFonts w:ascii="Trebuchet MS" w:hAnsi="Trebuchet MS"/>
                <w:b/>
                <w:spacing w:val="-7"/>
                <w:sz w:val="20"/>
                <w:szCs w:val="20"/>
              </w:rPr>
              <w:t xml:space="preserve"> </w:t>
            </w:r>
            <w:r w:rsidRPr="00B52516">
              <w:rPr>
                <w:rFonts w:ascii="Trebuchet MS" w:hAnsi="Trebuchet MS"/>
                <w:b/>
                <w:sz w:val="20"/>
                <w:szCs w:val="20"/>
              </w:rPr>
              <w:t>Bulgaria</w:t>
            </w:r>
            <w:r w:rsidRPr="00B52516">
              <w:rPr>
                <w:rFonts w:ascii="Trebuchet MS" w:hAnsi="Trebuchet MS"/>
                <w:b/>
                <w:spacing w:val="-6"/>
                <w:sz w:val="20"/>
                <w:szCs w:val="20"/>
              </w:rPr>
              <w:t xml:space="preserve"> </w:t>
            </w:r>
            <w:r w:rsidRPr="00B52516">
              <w:rPr>
                <w:rFonts w:ascii="Trebuchet MS" w:hAnsi="Trebuchet MS"/>
                <w:b/>
                <w:spacing w:val="-2"/>
                <w:sz w:val="20"/>
                <w:szCs w:val="20"/>
              </w:rPr>
              <w:t>Programme</w:t>
            </w:r>
          </w:p>
        </w:tc>
      </w:tr>
    </w:tbl>
    <w:p w:rsidR="00F11795" w:rsidRPr="00280E90" w:rsidRDefault="00482941" w:rsidP="007B321F">
      <w:pPr>
        <w:rPr>
          <w:rFonts w:ascii="Trebuchet MS" w:hAnsi="Trebuchet MS"/>
          <w:sz w:val="16"/>
          <w:szCs w:val="16"/>
        </w:rPr>
      </w:pPr>
      <w:r w:rsidRPr="00280E90">
        <w:rPr>
          <w:rFonts w:ascii="Trebuchet MS" w:hAnsi="Trebuchet MS"/>
          <w:noProof/>
        </w:rPr>
        <w:drawing>
          <wp:inline distT="0" distB="0" distL="0" distR="0" wp14:anchorId="0D10C71C" wp14:editId="57B33717">
            <wp:extent cx="2937510" cy="885450"/>
            <wp:effectExtent l="0" t="0" r="0" b="0"/>
            <wp:docPr id="31" name="Picture 31" descr="C:\Users\Maria\AppData\Local\Temp\abed5b20-7935-4001-bf7a-eb6e7bd7eff8_vim-logos-policy-icons-png (7).zip.ff8\LOGO\ENG\Interreg Logo Romania-Bulgaria CMYK 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a\AppData\Local\Temp\abed5b20-7935-4001-bf7a-eb6e7bd7eff8_vim-logos-policy-icons-png (7).zip.ff8\LOGO\ENG\Interreg Logo Romania-Bulgaria CMYK Color-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1675" cy="892734"/>
                    </a:xfrm>
                    <a:prstGeom prst="rect">
                      <a:avLst/>
                    </a:prstGeom>
                    <a:noFill/>
                    <a:ln>
                      <a:noFill/>
                    </a:ln>
                  </pic:spPr>
                </pic:pic>
              </a:graphicData>
            </a:graphic>
          </wp:inline>
        </w:drawing>
      </w:r>
    </w:p>
    <w:p w:rsidR="00450ED8" w:rsidRPr="00280E90" w:rsidRDefault="00450ED8" w:rsidP="00450ED8">
      <w:pPr>
        <w:pStyle w:val="EndnoteText"/>
        <w:rPr>
          <w:rFonts w:ascii="Trebuchet MS" w:hAnsi="Trebuchet MS"/>
          <w:lang w:val="ro-RO"/>
        </w:rPr>
      </w:pPr>
    </w:p>
    <w:p w:rsidR="00F11795" w:rsidRPr="00280E90" w:rsidRDefault="00F11795" w:rsidP="007B321F">
      <w:pPr>
        <w:rPr>
          <w:rFonts w:ascii="Trebuchet MS" w:hAnsi="Trebuchet MS"/>
        </w:rPr>
      </w:pPr>
    </w:p>
    <w:p w:rsidR="00621F21" w:rsidRDefault="00621F21" w:rsidP="00621F21">
      <w:pPr>
        <w:shd w:val="clear" w:color="auto" w:fill="FFFFFF" w:themeFill="background1"/>
        <w:jc w:val="center"/>
        <w:rPr>
          <w:rFonts w:ascii="Trebuchet MS" w:hAnsi="Trebuchet MS"/>
          <w:b/>
          <w:color w:val="3C4043"/>
          <w:sz w:val="24"/>
          <w:szCs w:val="24"/>
        </w:rPr>
      </w:pPr>
      <w:r w:rsidRPr="00B52516">
        <w:rPr>
          <w:rFonts w:ascii="Trebuchet MS" w:hAnsi="Trebuchet MS"/>
          <w:b/>
          <w:color w:val="3C4043"/>
          <w:sz w:val="24"/>
          <w:szCs w:val="24"/>
        </w:rPr>
        <w:t>Press release</w:t>
      </w:r>
    </w:p>
    <w:p w:rsidR="00B52516" w:rsidRPr="00B52516" w:rsidRDefault="00B52516" w:rsidP="00621F21">
      <w:pPr>
        <w:shd w:val="clear" w:color="auto" w:fill="FFFFFF" w:themeFill="background1"/>
        <w:jc w:val="center"/>
        <w:rPr>
          <w:rFonts w:ascii="Trebuchet MS" w:hAnsi="Trebuchet MS"/>
          <w:b/>
          <w:color w:val="3C4043"/>
          <w:sz w:val="24"/>
          <w:szCs w:val="24"/>
          <w:shd w:val="clear" w:color="auto" w:fill="D3E3FD"/>
        </w:rPr>
      </w:pPr>
    </w:p>
    <w:p w:rsidR="00F11795" w:rsidRPr="00B52516" w:rsidRDefault="00621F21" w:rsidP="00B52516">
      <w:pPr>
        <w:shd w:val="clear" w:color="auto" w:fill="FFFFFF" w:themeFill="background1"/>
        <w:jc w:val="both"/>
        <w:rPr>
          <w:rFonts w:ascii="Trebuchet MS" w:hAnsi="Trebuchet MS"/>
          <w:color w:val="000000" w:themeColor="text1"/>
          <w:sz w:val="24"/>
          <w:szCs w:val="24"/>
        </w:rPr>
      </w:pPr>
      <w:r w:rsidRPr="00B52516">
        <w:rPr>
          <w:rFonts w:ascii="Trebuchet MS" w:hAnsi="Trebuchet MS"/>
          <w:color w:val="000000" w:themeColor="text1"/>
          <w:sz w:val="24"/>
          <w:szCs w:val="24"/>
        </w:rPr>
        <w:t>The University of Craiova announces the start of the implementation of the project entitled ”Adapting viticulture to climate change by implementing ecosystem-based measuresto maintain economic viability”.</w:t>
      </w:r>
    </w:p>
    <w:p w:rsidR="00621F21" w:rsidRPr="00B52516" w:rsidRDefault="0016002D" w:rsidP="00B52516">
      <w:pPr>
        <w:shd w:val="clear" w:color="auto" w:fill="FFFFFF" w:themeFill="background1"/>
        <w:jc w:val="both"/>
        <w:rPr>
          <w:rFonts w:ascii="Trebuchet MS" w:hAnsi="Trebuchet MS"/>
          <w:b/>
          <w:spacing w:val="-2"/>
          <w:sz w:val="24"/>
          <w:szCs w:val="24"/>
        </w:rPr>
      </w:pPr>
      <w:r w:rsidRPr="00B52516">
        <w:rPr>
          <w:rFonts w:ascii="Trebuchet MS" w:hAnsi="Trebuchet MS"/>
          <w:b/>
          <w:sz w:val="24"/>
          <w:szCs w:val="24"/>
        </w:rPr>
        <w:t>INTERREG</w:t>
      </w:r>
      <w:r w:rsidRPr="00B52516">
        <w:rPr>
          <w:rFonts w:ascii="Trebuchet MS" w:hAnsi="Trebuchet MS"/>
          <w:b/>
          <w:spacing w:val="-7"/>
          <w:sz w:val="24"/>
          <w:szCs w:val="24"/>
        </w:rPr>
        <w:t xml:space="preserve"> </w:t>
      </w:r>
      <w:r w:rsidRPr="00B52516">
        <w:rPr>
          <w:rFonts w:ascii="Trebuchet MS" w:hAnsi="Trebuchet MS"/>
          <w:b/>
          <w:sz w:val="24"/>
          <w:szCs w:val="24"/>
        </w:rPr>
        <w:t>VI-A</w:t>
      </w:r>
      <w:r w:rsidRPr="00B52516">
        <w:rPr>
          <w:rFonts w:ascii="Trebuchet MS" w:hAnsi="Trebuchet MS"/>
          <w:b/>
          <w:spacing w:val="-20"/>
          <w:sz w:val="24"/>
          <w:szCs w:val="24"/>
        </w:rPr>
        <w:t xml:space="preserve"> </w:t>
      </w:r>
      <w:r w:rsidRPr="00B52516">
        <w:rPr>
          <w:rFonts w:ascii="Trebuchet MS" w:hAnsi="Trebuchet MS"/>
          <w:b/>
          <w:sz w:val="24"/>
          <w:szCs w:val="24"/>
        </w:rPr>
        <w:t>ROMANIA</w:t>
      </w:r>
      <w:r w:rsidRPr="00B52516">
        <w:rPr>
          <w:rFonts w:ascii="Trebuchet MS" w:hAnsi="Trebuchet MS"/>
          <w:b/>
          <w:spacing w:val="-6"/>
          <w:sz w:val="24"/>
          <w:szCs w:val="24"/>
        </w:rPr>
        <w:t xml:space="preserve"> </w:t>
      </w:r>
      <w:r w:rsidRPr="00B52516">
        <w:rPr>
          <w:rFonts w:ascii="Trebuchet MS" w:hAnsi="Trebuchet MS"/>
          <w:b/>
          <w:sz w:val="24"/>
          <w:szCs w:val="24"/>
        </w:rPr>
        <w:t>–</w:t>
      </w:r>
      <w:r w:rsidRPr="00B52516">
        <w:rPr>
          <w:rFonts w:ascii="Trebuchet MS" w:hAnsi="Trebuchet MS"/>
          <w:b/>
          <w:spacing w:val="-7"/>
          <w:sz w:val="24"/>
          <w:szCs w:val="24"/>
        </w:rPr>
        <w:t xml:space="preserve"> </w:t>
      </w:r>
      <w:r w:rsidRPr="00B52516">
        <w:rPr>
          <w:rFonts w:ascii="Trebuchet MS" w:hAnsi="Trebuchet MS"/>
          <w:b/>
          <w:sz w:val="24"/>
          <w:szCs w:val="24"/>
        </w:rPr>
        <w:t>BULGARIA</w:t>
      </w:r>
      <w:r w:rsidRPr="00B52516">
        <w:rPr>
          <w:rFonts w:ascii="Trebuchet MS" w:hAnsi="Trebuchet MS"/>
          <w:b/>
          <w:spacing w:val="-6"/>
          <w:sz w:val="24"/>
          <w:szCs w:val="24"/>
        </w:rPr>
        <w:t xml:space="preserve"> </w:t>
      </w:r>
      <w:r w:rsidRPr="00B52516">
        <w:rPr>
          <w:rFonts w:ascii="Trebuchet MS" w:hAnsi="Trebuchet MS"/>
          <w:b/>
          <w:spacing w:val="-2"/>
          <w:sz w:val="24"/>
          <w:szCs w:val="24"/>
        </w:rPr>
        <w:t>PROGRAMME</w:t>
      </w:r>
    </w:p>
    <w:p w:rsidR="0016002D" w:rsidRPr="00B52516" w:rsidRDefault="0016002D" w:rsidP="00B52516">
      <w:pPr>
        <w:jc w:val="both"/>
        <w:rPr>
          <w:rFonts w:ascii="Trebuchet MS" w:hAnsi="Trebuchet MS"/>
          <w:sz w:val="24"/>
          <w:szCs w:val="24"/>
        </w:rPr>
      </w:pPr>
      <w:r w:rsidRPr="00B52516">
        <w:rPr>
          <w:rFonts w:ascii="Trebuchet MS" w:hAnsi="Trebuchet MS"/>
          <w:b/>
          <w:color w:val="151616"/>
          <w:sz w:val="24"/>
          <w:szCs w:val="24"/>
        </w:rPr>
        <w:t>Project</w:t>
      </w:r>
      <w:r w:rsidRPr="00B52516">
        <w:rPr>
          <w:rFonts w:ascii="Trebuchet MS" w:hAnsi="Trebuchet MS"/>
          <w:b/>
          <w:color w:val="151616"/>
          <w:spacing w:val="-12"/>
          <w:sz w:val="24"/>
          <w:szCs w:val="24"/>
        </w:rPr>
        <w:t xml:space="preserve"> </w:t>
      </w:r>
      <w:r w:rsidRPr="00B52516">
        <w:rPr>
          <w:rFonts w:ascii="Trebuchet MS" w:hAnsi="Trebuchet MS"/>
          <w:b/>
          <w:color w:val="151616"/>
          <w:sz w:val="24"/>
          <w:szCs w:val="24"/>
        </w:rPr>
        <w:t>ID</w:t>
      </w:r>
      <w:r w:rsidRPr="00B52516">
        <w:rPr>
          <w:rFonts w:ascii="Trebuchet MS" w:hAnsi="Trebuchet MS"/>
          <w:color w:val="151616"/>
          <w:sz w:val="24"/>
          <w:szCs w:val="24"/>
        </w:rPr>
        <w:t>:</w:t>
      </w:r>
      <w:r w:rsidRPr="00B52516">
        <w:rPr>
          <w:rFonts w:ascii="Trebuchet MS" w:hAnsi="Trebuchet MS"/>
          <w:color w:val="151616"/>
          <w:spacing w:val="-12"/>
          <w:sz w:val="24"/>
          <w:szCs w:val="24"/>
        </w:rPr>
        <w:t xml:space="preserve"> </w:t>
      </w:r>
      <w:r w:rsidRPr="00B52516">
        <w:rPr>
          <w:rFonts w:ascii="Trebuchet MS" w:hAnsi="Trebuchet MS"/>
          <w:sz w:val="24"/>
          <w:szCs w:val="24"/>
        </w:rPr>
        <w:t>ROBG00370</w:t>
      </w:r>
    </w:p>
    <w:p w:rsidR="0016002D" w:rsidRPr="00B52516" w:rsidRDefault="0016002D" w:rsidP="00B52516">
      <w:pPr>
        <w:jc w:val="both"/>
        <w:rPr>
          <w:rFonts w:ascii="Trebuchet MS" w:hAnsi="Trebuchet MS"/>
          <w:sz w:val="24"/>
          <w:szCs w:val="24"/>
        </w:rPr>
      </w:pPr>
      <w:r w:rsidRPr="00B52516">
        <w:rPr>
          <w:rFonts w:ascii="Trebuchet MS" w:hAnsi="Trebuchet MS"/>
          <w:b/>
          <w:color w:val="151616"/>
          <w:sz w:val="24"/>
          <w:szCs w:val="24"/>
        </w:rPr>
        <w:t>Project</w:t>
      </w:r>
      <w:r w:rsidRPr="00B52516">
        <w:rPr>
          <w:rFonts w:ascii="Trebuchet MS" w:hAnsi="Trebuchet MS"/>
          <w:b/>
          <w:color w:val="151616"/>
          <w:spacing w:val="-12"/>
          <w:sz w:val="24"/>
          <w:szCs w:val="24"/>
        </w:rPr>
        <w:t xml:space="preserve"> </w:t>
      </w:r>
      <w:r w:rsidRPr="00B52516">
        <w:rPr>
          <w:rFonts w:ascii="Trebuchet MS" w:hAnsi="Trebuchet MS"/>
          <w:b/>
          <w:color w:val="151616"/>
          <w:sz w:val="24"/>
          <w:szCs w:val="24"/>
        </w:rPr>
        <w:t>acronym</w:t>
      </w:r>
      <w:r w:rsidRPr="00B52516">
        <w:rPr>
          <w:rFonts w:ascii="Trebuchet MS" w:hAnsi="Trebuchet MS"/>
          <w:color w:val="151616"/>
          <w:sz w:val="24"/>
          <w:szCs w:val="24"/>
        </w:rPr>
        <w:t>:</w:t>
      </w:r>
      <w:r w:rsidRPr="00B52516">
        <w:rPr>
          <w:rFonts w:ascii="Trebuchet MS" w:hAnsi="Trebuchet MS"/>
          <w:color w:val="151616"/>
          <w:spacing w:val="-13"/>
          <w:sz w:val="24"/>
          <w:szCs w:val="24"/>
        </w:rPr>
        <w:t xml:space="preserve"> </w:t>
      </w:r>
      <w:r w:rsidRPr="00B52516">
        <w:rPr>
          <w:rFonts w:ascii="Trebuchet MS" w:hAnsi="Trebuchet MS"/>
          <w:color w:val="151616"/>
          <w:sz w:val="24"/>
          <w:szCs w:val="24"/>
        </w:rPr>
        <w:t>VitiClimRoBg-Hard</w:t>
      </w:r>
    </w:p>
    <w:p w:rsidR="0016002D" w:rsidRPr="00B52516" w:rsidRDefault="0016002D" w:rsidP="00B52516">
      <w:pPr>
        <w:jc w:val="both"/>
        <w:rPr>
          <w:rFonts w:ascii="Trebuchet MS" w:hAnsi="Trebuchet MS"/>
          <w:sz w:val="24"/>
          <w:szCs w:val="24"/>
        </w:rPr>
      </w:pPr>
      <w:r w:rsidRPr="00B52516">
        <w:rPr>
          <w:rFonts w:ascii="Trebuchet MS" w:hAnsi="Trebuchet MS"/>
          <w:b/>
          <w:color w:val="151616"/>
          <w:sz w:val="24"/>
          <w:szCs w:val="24"/>
        </w:rPr>
        <w:t>Duration:</w:t>
      </w:r>
      <w:r w:rsidRPr="00B52516">
        <w:rPr>
          <w:rFonts w:ascii="Trebuchet MS" w:hAnsi="Trebuchet MS"/>
          <w:color w:val="151616"/>
          <w:sz w:val="24"/>
          <w:szCs w:val="24"/>
        </w:rPr>
        <w:t xml:space="preserve"> December 2025-December 2027</w:t>
      </w:r>
    </w:p>
    <w:p w:rsidR="0016002D" w:rsidRPr="00B52516" w:rsidRDefault="0016002D" w:rsidP="00B52516">
      <w:pPr>
        <w:framePr w:hSpace="180" w:wrap="around" w:vAnchor="text" w:hAnchor="page" w:x="925" w:y="3114"/>
        <w:suppressOverlap/>
        <w:jc w:val="both"/>
        <w:rPr>
          <w:rFonts w:ascii="Trebuchet MS" w:hAnsi="Trebuchet MS"/>
          <w:color w:val="151616"/>
          <w:spacing w:val="-18"/>
          <w:sz w:val="24"/>
          <w:szCs w:val="24"/>
        </w:rPr>
      </w:pPr>
      <w:r w:rsidRPr="00B52516">
        <w:rPr>
          <w:rFonts w:ascii="Trebuchet MS" w:hAnsi="Trebuchet MS"/>
          <w:color w:val="151616"/>
          <w:sz w:val="24"/>
          <w:szCs w:val="24"/>
        </w:rPr>
        <w:t xml:space="preserve"> </w:t>
      </w:r>
    </w:p>
    <w:p w:rsidR="001D540C" w:rsidRPr="00B52516" w:rsidRDefault="0016002D" w:rsidP="00B52516">
      <w:pPr>
        <w:jc w:val="both"/>
        <w:rPr>
          <w:rFonts w:ascii="Trebuchet MS" w:hAnsi="Trebuchet MS"/>
          <w:color w:val="151616"/>
          <w:sz w:val="24"/>
          <w:szCs w:val="24"/>
        </w:rPr>
      </w:pPr>
      <w:r w:rsidRPr="00B52516">
        <w:rPr>
          <w:rFonts w:ascii="Trebuchet MS" w:hAnsi="Trebuchet MS"/>
          <w:b/>
          <w:color w:val="151616"/>
          <w:sz w:val="24"/>
          <w:szCs w:val="24"/>
        </w:rPr>
        <w:t>Total</w:t>
      </w:r>
      <w:r w:rsidRPr="00B52516">
        <w:rPr>
          <w:rFonts w:ascii="Trebuchet MS" w:hAnsi="Trebuchet MS"/>
          <w:b/>
          <w:color w:val="151616"/>
          <w:spacing w:val="-19"/>
          <w:sz w:val="24"/>
          <w:szCs w:val="24"/>
        </w:rPr>
        <w:t xml:space="preserve"> </w:t>
      </w:r>
      <w:r w:rsidRPr="00B52516">
        <w:rPr>
          <w:rFonts w:ascii="Trebuchet MS" w:hAnsi="Trebuchet MS"/>
          <w:b/>
          <w:color w:val="151616"/>
          <w:sz w:val="24"/>
          <w:szCs w:val="24"/>
        </w:rPr>
        <w:t>budget</w:t>
      </w:r>
      <w:r w:rsidRPr="00B52516">
        <w:rPr>
          <w:rFonts w:ascii="Trebuchet MS" w:hAnsi="Trebuchet MS"/>
          <w:color w:val="151616"/>
          <w:sz w:val="24"/>
          <w:szCs w:val="24"/>
        </w:rPr>
        <w:t>:</w:t>
      </w:r>
      <w:r w:rsidRPr="00B52516">
        <w:rPr>
          <w:rFonts w:ascii="Trebuchet MS" w:hAnsi="Trebuchet MS"/>
          <w:color w:val="151616"/>
          <w:spacing w:val="-18"/>
          <w:sz w:val="24"/>
          <w:szCs w:val="24"/>
        </w:rPr>
        <w:t xml:space="preserve"> </w:t>
      </w:r>
      <w:r w:rsidRPr="00B52516">
        <w:rPr>
          <w:rFonts w:ascii="Trebuchet MS" w:hAnsi="Trebuchet MS"/>
          <w:sz w:val="24"/>
          <w:szCs w:val="24"/>
        </w:rPr>
        <w:t xml:space="preserve">1,610,750.22 </w:t>
      </w:r>
      <w:r w:rsidRPr="00B52516">
        <w:rPr>
          <w:rFonts w:ascii="Trebuchet MS" w:hAnsi="Trebuchet MS"/>
          <w:color w:val="151616"/>
          <w:sz w:val="24"/>
          <w:szCs w:val="24"/>
        </w:rPr>
        <w:t>Euro</w:t>
      </w:r>
    </w:p>
    <w:p w:rsidR="0016002D" w:rsidRPr="00B52516" w:rsidRDefault="0016002D" w:rsidP="00B52516">
      <w:pPr>
        <w:jc w:val="both"/>
        <w:rPr>
          <w:rFonts w:ascii="Trebuchet MS" w:hAnsi="Trebuchet MS"/>
          <w:sz w:val="24"/>
          <w:szCs w:val="24"/>
        </w:rPr>
      </w:pPr>
      <w:r w:rsidRPr="00B52516">
        <w:rPr>
          <w:rFonts w:ascii="Trebuchet MS" w:hAnsi="Trebuchet MS"/>
          <w:b/>
          <w:color w:val="151616"/>
          <w:sz w:val="24"/>
          <w:szCs w:val="24"/>
        </w:rPr>
        <w:t>Funding:</w:t>
      </w:r>
      <w:r w:rsidRPr="00B52516">
        <w:rPr>
          <w:rFonts w:ascii="Trebuchet MS" w:hAnsi="Trebuchet MS"/>
          <w:color w:val="151616"/>
          <w:sz w:val="24"/>
          <w:szCs w:val="24"/>
        </w:rPr>
        <w:t xml:space="preserve"> </w:t>
      </w:r>
      <w:r w:rsidRPr="00B52516">
        <w:rPr>
          <w:rFonts w:ascii="Trebuchet MS" w:hAnsi="Trebuchet MS"/>
          <w:sz w:val="24"/>
          <w:szCs w:val="24"/>
        </w:rPr>
        <w:t xml:space="preserve">1,288,600.16 </w:t>
      </w:r>
      <w:r w:rsidRPr="00B52516">
        <w:rPr>
          <w:rFonts w:ascii="Trebuchet MS" w:hAnsi="Trebuchet MS"/>
          <w:color w:val="151616"/>
          <w:sz w:val="24"/>
          <w:szCs w:val="24"/>
        </w:rPr>
        <w:t>Euro</w:t>
      </w:r>
    </w:p>
    <w:p w:rsidR="00455F24" w:rsidRPr="00B52516" w:rsidRDefault="0016002D" w:rsidP="00B52516">
      <w:pPr>
        <w:jc w:val="both"/>
        <w:rPr>
          <w:rFonts w:ascii="Trebuchet MS" w:hAnsi="Trebuchet MS"/>
          <w:color w:val="151616"/>
          <w:sz w:val="24"/>
          <w:szCs w:val="24"/>
        </w:rPr>
      </w:pPr>
      <w:r w:rsidRPr="00B52516">
        <w:rPr>
          <w:rFonts w:ascii="Trebuchet MS" w:hAnsi="Trebuchet MS"/>
          <w:b/>
          <w:color w:val="151616"/>
          <w:sz w:val="24"/>
          <w:szCs w:val="24"/>
        </w:rPr>
        <w:t>Programme</w:t>
      </w:r>
      <w:r w:rsidRPr="00B52516">
        <w:rPr>
          <w:rFonts w:ascii="Trebuchet MS" w:hAnsi="Trebuchet MS"/>
          <w:b/>
          <w:color w:val="151616"/>
          <w:spacing w:val="-9"/>
          <w:sz w:val="24"/>
          <w:szCs w:val="24"/>
        </w:rPr>
        <w:t xml:space="preserve"> </w:t>
      </w:r>
      <w:r w:rsidRPr="00B52516">
        <w:rPr>
          <w:rFonts w:ascii="Trebuchet MS" w:hAnsi="Trebuchet MS"/>
          <w:b/>
          <w:color w:val="151616"/>
          <w:sz w:val="24"/>
          <w:szCs w:val="24"/>
        </w:rPr>
        <w:t>priority</w:t>
      </w:r>
      <w:r w:rsidRPr="00B52516">
        <w:rPr>
          <w:rFonts w:ascii="Trebuchet MS" w:hAnsi="Trebuchet MS"/>
          <w:color w:val="151616"/>
          <w:sz w:val="24"/>
          <w:szCs w:val="24"/>
        </w:rPr>
        <w:t>:</w:t>
      </w:r>
      <w:r w:rsidRPr="00B52516">
        <w:rPr>
          <w:rFonts w:ascii="Trebuchet MS" w:hAnsi="Trebuchet MS"/>
          <w:color w:val="151616"/>
          <w:spacing w:val="-18"/>
          <w:sz w:val="24"/>
          <w:szCs w:val="24"/>
        </w:rPr>
        <w:t xml:space="preserve"> </w:t>
      </w:r>
      <w:r w:rsidRPr="00B52516">
        <w:rPr>
          <w:rFonts w:ascii="Trebuchet MS" w:hAnsi="Trebuchet MS"/>
          <w:color w:val="151616"/>
          <w:sz w:val="24"/>
          <w:szCs w:val="24"/>
        </w:rPr>
        <w:t>A greener region</w:t>
      </w:r>
    </w:p>
    <w:p w:rsidR="0016002D" w:rsidRPr="00B52516" w:rsidRDefault="0016002D" w:rsidP="00B52516">
      <w:pPr>
        <w:jc w:val="both"/>
        <w:rPr>
          <w:rFonts w:ascii="Trebuchet MS" w:hAnsi="Trebuchet MS"/>
          <w:color w:val="151616"/>
          <w:sz w:val="24"/>
          <w:szCs w:val="24"/>
        </w:rPr>
      </w:pPr>
      <w:r w:rsidRPr="00B52516">
        <w:rPr>
          <w:rFonts w:ascii="Trebuchet MS" w:hAnsi="Trebuchet MS"/>
          <w:b/>
          <w:color w:val="151616"/>
          <w:sz w:val="24"/>
          <w:szCs w:val="24"/>
        </w:rPr>
        <w:t>Specific</w:t>
      </w:r>
      <w:r w:rsidRPr="00B52516">
        <w:rPr>
          <w:rFonts w:ascii="Trebuchet MS" w:hAnsi="Trebuchet MS"/>
          <w:b/>
          <w:color w:val="151616"/>
          <w:spacing w:val="-7"/>
          <w:sz w:val="24"/>
          <w:szCs w:val="24"/>
        </w:rPr>
        <w:t xml:space="preserve"> </w:t>
      </w:r>
      <w:r w:rsidRPr="00B52516">
        <w:rPr>
          <w:rFonts w:ascii="Trebuchet MS" w:hAnsi="Trebuchet MS"/>
          <w:b/>
          <w:color w:val="151616"/>
          <w:sz w:val="24"/>
          <w:szCs w:val="24"/>
        </w:rPr>
        <w:t>objective</w:t>
      </w:r>
      <w:r w:rsidRPr="00B52516">
        <w:rPr>
          <w:rFonts w:ascii="Trebuchet MS" w:hAnsi="Trebuchet MS"/>
          <w:color w:val="151616"/>
          <w:sz w:val="24"/>
          <w:szCs w:val="24"/>
        </w:rPr>
        <w:t>:</w:t>
      </w:r>
      <w:r w:rsidRPr="00B52516">
        <w:rPr>
          <w:rFonts w:ascii="Trebuchet MS" w:hAnsi="Trebuchet MS"/>
          <w:color w:val="151616"/>
          <w:spacing w:val="-7"/>
          <w:sz w:val="24"/>
          <w:szCs w:val="24"/>
        </w:rPr>
        <w:t xml:space="preserve"> </w:t>
      </w:r>
      <w:r w:rsidRPr="00B52516">
        <w:rPr>
          <w:rFonts w:ascii="Trebuchet MS" w:hAnsi="Trebuchet MS"/>
          <w:color w:val="151616"/>
          <w:sz w:val="24"/>
          <w:szCs w:val="24"/>
        </w:rPr>
        <w:t>S.O.2.4: Promoting climate change adaptation and disaster risk prevention, resilience, taking into account eco-system based approaches.</w:t>
      </w:r>
    </w:p>
    <w:p w:rsidR="0016002D" w:rsidRPr="00B52516" w:rsidRDefault="0016002D" w:rsidP="00B52516">
      <w:pPr>
        <w:pStyle w:val="Heading1"/>
        <w:ind w:left="0"/>
        <w:jc w:val="both"/>
        <w:rPr>
          <w:sz w:val="24"/>
          <w:szCs w:val="24"/>
        </w:rPr>
      </w:pPr>
      <w:r w:rsidRPr="00B52516">
        <w:rPr>
          <w:color w:val="151616"/>
          <w:spacing w:val="-4"/>
          <w:sz w:val="24"/>
          <w:szCs w:val="24"/>
        </w:rPr>
        <w:t>Aim:</w:t>
      </w:r>
    </w:p>
    <w:p w:rsidR="0016002D" w:rsidRPr="00B52516" w:rsidRDefault="0016002D" w:rsidP="00B52516">
      <w:pPr>
        <w:pStyle w:val="BodyText"/>
        <w:jc w:val="both"/>
        <w:rPr>
          <w:sz w:val="24"/>
          <w:szCs w:val="24"/>
        </w:rPr>
      </w:pPr>
      <w:r w:rsidRPr="00B52516">
        <w:rPr>
          <w:color w:val="151616"/>
          <w:sz w:val="24"/>
          <w:szCs w:val="24"/>
        </w:rPr>
        <w:t>The project aims to build climate-resilient viticulture practices and infrastructure in the cross-border regions of SW Romania and NW Bulgaria. It collectively focuses on enhancing vineyard resilience against climate change through innovative solutions such as precision viticulture, smart water management, green systems, and cross-border cooperation. By integrating digital technologies, creating a collaborative network, and developing sustainable infrastructure, these projects strive to safeguard viticulture and ensure its long-term viability.</w:t>
      </w:r>
    </w:p>
    <w:p w:rsidR="0016002D" w:rsidRPr="00B52516" w:rsidRDefault="0016002D" w:rsidP="00B52516">
      <w:pPr>
        <w:pStyle w:val="Heading1"/>
        <w:jc w:val="both"/>
        <w:rPr>
          <w:color w:val="151616"/>
          <w:spacing w:val="-2"/>
          <w:sz w:val="24"/>
          <w:szCs w:val="24"/>
        </w:rPr>
      </w:pPr>
    </w:p>
    <w:p w:rsidR="0016002D" w:rsidRPr="00B52516" w:rsidRDefault="0016002D" w:rsidP="00B52516">
      <w:pPr>
        <w:pStyle w:val="Heading1"/>
        <w:ind w:left="0"/>
        <w:jc w:val="both"/>
        <w:rPr>
          <w:sz w:val="24"/>
          <w:szCs w:val="24"/>
        </w:rPr>
      </w:pPr>
      <w:r w:rsidRPr="00B52516">
        <w:rPr>
          <w:color w:val="151616"/>
          <w:spacing w:val="-2"/>
          <w:sz w:val="24"/>
          <w:szCs w:val="24"/>
        </w:rPr>
        <w:t>Activities:</w:t>
      </w:r>
    </w:p>
    <w:p w:rsidR="0016002D" w:rsidRPr="00B52516" w:rsidRDefault="0016002D" w:rsidP="00B52516">
      <w:pPr>
        <w:pStyle w:val="BodyText"/>
        <w:numPr>
          <w:ilvl w:val="0"/>
          <w:numId w:val="1"/>
        </w:numPr>
        <w:jc w:val="both"/>
        <w:rPr>
          <w:sz w:val="24"/>
          <w:szCs w:val="24"/>
        </w:rPr>
      </w:pPr>
      <w:r w:rsidRPr="00B52516">
        <w:rPr>
          <w:sz w:val="24"/>
          <w:szCs w:val="24"/>
        </w:rPr>
        <w:t>Pilot Action for Climate-Resilient Viticulture (VitiResearch)</w:t>
      </w:r>
    </w:p>
    <w:p w:rsidR="0016002D" w:rsidRPr="00B52516" w:rsidRDefault="0016002D" w:rsidP="00B52516">
      <w:pPr>
        <w:pStyle w:val="BodyText"/>
        <w:numPr>
          <w:ilvl w:val="0"/>
          <w:numId w:val="1"/>
        </w:numPr>
        <w:jc w:val="both"/>
        <w:rPr>
          <w:sz w:val="24"/>
          <w:szCs w:val="24"/>
        </w:rPr>
      </w:pPr>
      <w:r w:rsidRPr="00B52516">
        <w:rPr>
          <w:sz w:val="24"/>
          <w:szCs w:val="24"/>
        </w:rPr>
        <w:t>Cross-Border Collaborative Network for Climate-Adapted Viticulture (VitiNet)</w:t>
      </w:r>
    </w:p>
    <w:p w:rsidR="0016002D" w:rsidRPr="00B52516" w:rsidRDefault="0016002D" w:rsidP="00B52516">
      <w:pPr>
        <w:jc w:val="both"/>
        <w:rPr>
          <w:rFonts w:ascii="Trebuchet MS" w:hAnsi="Trebuchet MS"/>
          <w:sz w:val="24"/>
          <w:szCs w:val="24"/>
        </w:rPr>
      </w:pPr>
    </w:p>
    <w:p w:rsidR="00B52516" w:rsidRPr="00B52516" w:rsidRDefault="00B52516" w:rsidP="00B52516">
      <w:pPr>
        <w:jc w:val="both"/>
        <w:rPr>
          <w:rFonts w:ascii="Trebuchet MS" w:hAnsi="Trebuchet MS"/>
          <w:b/>
          <w:sz w:val="24"/>
          <w:szCs w:val="24"/>
        </w:rPr>
      </w:pPr>
      <w:r w:rsidRPr="00B52516">
        <w:rPr>
          <w:rFonts w:ascii="Trebuchet MS" w:hAnsi="Trebuchet MS"/>
          <w:b/>
          <w:sz w:val="24"/>
          <w:szCs w:val="24"/>
        </w:rPr>
        <w:t>Results:</w:t>
      </w:r>
    </w:p>
    <w:p w:rsidR="00B52516" w:rsidRPr="00B52516" w:rsidRDefault="00B52516" w:rsidP="00B52516">
      <w:pPr>
        <w:jc w:val="both"/>
        <w:rPr>
          <w:rFonts w:ascii="Trebuchet MS" w:hAnsi="Trebuchet MS"/>
          <w:sz w:val="24"/>
          <w:szCs w:val="24"/>
        </w:rPr>
      </w:pPr>
      <w:r w:rsidRPr="00B52516">
        <w:rPr>
          <w:rFonts w:ascii="Trebuchet MS" w:hAnsi="Trebuchet MS"/>
          <w:sz w:val="24"/>
          <w:szCs w:val="24"/>
        </w:rPr>
        <w:t xml:space="preserve">• </w:t>
      </w:r>
      <w:r w:rsidRPr="00B52516">
        <w:rPr>
          <w:rFonts w:ascii="Trebuchet MS" w:hAnsi="Trebuchet MS"/>
          <w:sz w:val="24"/>
          <w:szCs w:val="24"/>
        </w:rPr>
        <w:tab/>
        <w:t>A digital climate monitoring and early warning system designed to support vineyard management and enable rapid decision</w:t>
      </w:r>
      <w:r w:rsidRPr="00B52516">
        <w:rPr>
          <w:rFonts w:ascii="Cambria Math" w:hAnsi="Cambria Math" w:cs="Cambria Math"/>
          <w:sz w:val="24"/>
          <w:szCs w:val="24"/>
        </w:rPr>
        <w:t>‑</w:t>
      </w:r>
      <w:r w:rsidRPr="00B52516">
        <w:rPr>
          <w:rFonts w:ascii="Trebuchet MS" w:hAnsi="Trebuchet MS"/>
          <w:sz w:val="24"/>
          <w:szCs w:val="24"/>
        </w:rPr>
        <w:t>making in the face of risks.</w:t>
      </w:r>
    </w:p>
    <w:p w:rsidR="00B52516" w:rsidRPr="00B52516" w:rsidRDefault="00B52516" w:rsidP="00B52516">
      <w:pPr>
        <w:jc w:val="both"/>
        <w:rPr>
          <w:rFonts w:ascii="Trebuchet MS" w:hAnsi="Trebuchet MS"/>
          <w:sz w:val="24"/>
          <w:szCs w:val="24"/>
        </w:rPr>
      </w:pPr>
      <w:r w:rsidRPr="00B52516">
        <w:rPr>
          <w:rFonts w:ascii="Trebuchet MS" w:hAnsi="Trebuchet MS"/>
          <w:sz w:val="24"/>
          <w:szCs w:val="24"/>
        </w:rPr>
        <w:lastRenderedPageBreak/>
        <w:t xml:space="preserve">• </w:t>
      </w:r>
      <w:r w:rsidRPr="00B52516">
        <w:rPr>
          <w:rFonts w:ascii="Trebuchet MS" w:hAnsi="Trebuchet MS"/>
          <w:sz w:val="24"/>
          <w:szCs w:val="24"/>
        </w:rPr>
        <w:tab/>
        <w:t>Precision viticulture solutions and adaptation infrastructure, including advanced monitoring and the integration of digital technologies.</w:t>
      </w:r>
    </w:p>
    <w:p w:rsidR="00B52516" w:rsidRPr="00B52516" w:rsidRDefault="00B52516" w:rsidP="00B52516">
      <w:pPr>
        <w:jc w:val="both"/>
        <w:rPr>
          <w:rFonts w:ascii="Trebuchet MS" w:hAnsi="Trebuchet MS"/>
          <w:sz w:val="24"/>
          <w:szCs w:val="24"/>
        </w:rPr>
      </w:pPr>
      <w:r w:rsidRPr="00B52516">
        <w:rPr>
          <w:rFonts w:ascii="Trebuchet MS" w:hAnsi="Trebuchet MS"/>
          <w:sz w:val="24"/>
          <w:szCs w:val="24"/>
        </w:rPr>
        <w:t xml:space="preserve">• </w:t>
      </w:r>
      <w:r w:rsidRPr="00B52516">
        <w:rPr>
          <w:rFonts w:ascii="Trebuchet MS" w:hAnsi="Trebuchet MS"/>
          <w:sz w:val="24"/>
          <w:szCs w:val="24"/>
        </w:rPr>
        <w:tab/>
        <w:t>Viticultural material and applied research: scientific expertise and the development/analysis of genetic resources and grapevine varieties more resistant to climate stress, supported by laboratory infrastructure.</w:t>
      </w:r>
    </w:p>
    <w:p w:rsidR="00B52516" w:rsidRPr="00B52516" w:rsidRDefault="00B52516" w:rsidP="00B52516">
      <w:pPr>
        <w:jc w:val="both"/>
        <w:rPr>
          <w:rFonts w:ascii="Trebuchet MS" w:hAnsi="Trebuchet MS"/>
          <w:sz w:val="24"/>
          <w:szCs w:val="24"/>
        </w:rPr>
      </w:pPr>
      <w:r w:rsidRPr="00B52516">
        <w:rPr>
          <w:rFonts w:ascii="Trebuchet MS" w:hAnsi="Trebuchet MS"/>
          <w:sz w:val="24"/>
          <w:szCs w:val="24"/>
        </w:rPr>
        <w:t xml:space="preserve">• </w:t>
      </w:r>
      <w:r w:rsidRPr="00B52516">
        <w:rPr>
          <w:rFonts w:ascii="Trebuchet MS" w:hAnsi="Trebuchet MS"/>
          <w:sz w:val="24"/>
          <w:szCs w:val="24"/>
        </w:rPr>
        <w:tab/>
        <w:t>Ecosystem</w:t>
      </w:r>
      <w:r w:rsidRPr="00B52516">
        <w:rPr>
          <w:rFonts w:ascii="Cambria Math" w:hAnsi="Cambria Math" w:cs="Cambria Math"/>
          <w:sz w:val="24"/>
          <w:szCs w:val="24"/>
        </w:rPr>
        <w:t>‑</w:t>
      </w:r>
      <w:r w:rsidRPr="00B52516">
        <w:rPr>
          <w:rFonts w:ascii="Trebuchet MS" w:hAnsi="Trebuchet MS"/>
          <w:sz w:val="24"/>
          <w:szCs w:val="24"/>
        </w:rPr>
        <w:t>based measures, such as a green buffer zone that protects plantations, supports biodiversity, and contributes to soil resilience.</w:t>
      </w:r>
    </w:p>
    <w:p w:rsidR="00B52516" w:rsidRDefault="00B52516" w:rsidP="00B52516">
      <w:pPr>
        <w:jc w:val="both"/>
        <w:rPr>
          <w:rFonts w:ascii="Trebuchet MS" w:hAnsi="Trebuchet MS"/>
        </w:rPr>
      </w:pPr>
      <w:r w:rsidRPr="00B52516">
        <w:rPr>
          <w:rFonts w:ascii="Trebuchet MS" w:hAnsi="Trebuchet MS"/>
          <w:sz w:val="24"/>
          <w:szCs w:val="24"/>
        </w:rPr>
        <w:t xml:space="preserve">• </w:t>
      </w:r>
      <w:r w:rsidRPr="00B52516">
        <w:rPr>
          <w:rFonts w:ascii="Trebuchet MS" w:hAnsi="Trebuchet MS"/>
          <w:sz w:val="24"/>
          <w:szCs w:val="24"/>
        </w:rPr>
        <w:tab/>
        <w:t>A cross</w:t>
      </w:r>
      <w:r w:rsidRPr="00B52516">
        <w:rPr>
          <w:rFonts w:ascii="Cambria Math" w:hAnsi="Cambria Math" w:cs="Cambria Math"/>
          <w:sz w:val="24"/>
          <w:szCs w:val="24"/>
        </w:rPr>
        <w:t>‑</w:t>
      </w:r>
      <w:r w:rsidRPr="00B52516">
        <w:rPr>
          <w:rFonts w:ascii="Trebuchet MS" w:hAnsi="Trebuchet MS"/>
          <w:sz w:val="24"/>
          <w:szCs w:val="24"/>
        </w:rPr>
        <w:t>border cooperation hub, a multilingual interactive platform, and consistent knowledge</w:t>
      </w:r>
      <w:r w:rsidRPr="00B52516">
        <w:rPr>
          <w:rFonts w:ascii="Cambria Math" w:hAnsi="Cambria Math" w:cs="Cambria Math"/>
          <w:sz w:val="24"/>
          <w:szCs w:val="24"/>
        </w:rPr>
        <w:t>‑</w:t>
      </w:r>
      <w:r w:rsidRPr="00B52516">
        <w:rPr>
          <w:rFonts w:ascii="Trebuchet MS" w:hAnsi="Trebuchet MS"/>
          <w:sz w:val="24"/>
          <w:szCs w:val="24"/>
        </w:rPr>
        <w:t>transfer activities: trainings, workshops, digital resources, materials, and dissemination for winegrowers, researchers, administrations, and communities.</w:t>
      </w:r>
    </w:p>
    <w:p w:rsidR="00B52516" w:rsidRDefault="00B52516" w:rsidP="00B52516">
      <w:pPr>
        <w:jc w:val="both"/>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p>
    <w:p w:rsidR="00B52516" w:rsidRDefault="00B52516" w:rsidP="00B52516">
      <w:pPr>
        <w:rPr>
          <w:rFonts w:ascii="Trebuchet MS" w:hAnsi="Trebuchet MS"/>
        </w:rPr>
      </w:pPr>
      <w:bookmarkStart w:id="0" w:name="_GoBack"/>
      <w:bookmarkEnd w:id="0"/>
    </w:p>
    <w:p w:rsidR="008E5E40" w:rsidRPr="00280E90" w:rsidRDefault="008E5E40" w:rsidP="00B52516">
      <w:pPr>
        <w:rPr>
          <w:rFonts w:ascii="Trebuchet MS" w:hAnsi="Trebuchet MS"/>
        </w:rPr>
      </w:pPr>
    </w:p>
    <w:tbl>
      <w:tblPr>
        <w:tblStyle w:val="TableGrid"/>
        <w:tblpPr w:leftFromText="180" w:rightFromText="180" w:vertAnchor="text" w:tblpY="1"/>
        <w:tblOverlap w:val="never"/>
        <w:tblW w:w="0" w:type="auto"/>
        <w:tblLook w:val="04A0" w:firstRow="1" w:lastRow="0" w:firstColumn="1" w:lastColumn="0" w:noHBand="0" w:noVBand="1"/>
      </w:tblPr>
      <w:tblGrid>
        <w:gridCol w:w="9629"/>
      </w:tblGrid>
      <w:tr w:rsidR="00450ED8" w:rsidRPr="00280E90" w:rsidTr="009C1BAB">
        <w:trPr>
          <w:cantSplit/>
          <w:trHeight w:val="1134"/>
        </w:trPr>
        <w:tc>
          <w:tcPr>
            <w:tcW w:w="9629" w:type="dxa"/>
            <w:vAlign w:val="center"/>
          </w:tcPr>
          <w:p w:rsidR="00450ED8" w:rsidRPr="00B52516" w:rsidRDefault="00450ED8" w:rsidP="00450ED8">
            <w:pPr>
              <w:pStyle w:val="BodyText"/>
              <w:jc w:val="center"/>
              <w:rPr>
                <w:color w:val="3C4043"/>
                <w:sz w:val="20"/>
                <w:szCs w:val="20"/>
                <w:lang w:val="en"/>
              </w:rPr>
            </w:pPr>
            <w:r w:rsidRPr="00B52516">
              <w:rPr>
                <w:sz w:val="20"/>
                <w:szCs w:val="20"/>
              </w:rPr>
              <w:t>The</w:t>
            </w:r>
            <w:r w:rsidRPr="00B52516">
              <w:rPr>
                <w:spacing w:val="-9"/>
                <w:sz w:val="20"/>
                <w:szCs w:val="20"/>
              </w:rPr>
              <w:t xml:space="preserve"> </w:t>
            </w:r>
            <w:r w:rsidRPr="00B52516">
              <w:rPr>
                <w:sz w:val="20"/>
                <w:szCs w:val="20"/>
              </w:rPr>
              <w:t>project</w:t>
            </w:r>
            <w:r w:rsidRPr="00B52516">
              <w:rPr>
                <w:b/>
                <w:spacing w:val="-9"/>
                <w:sz w:val="20"/>
                <w:szCs w:val="20"/>
              </w:rPr>
              <w:t xml:space="preserve"> </w:t>
            </w:r>
            <w:r w:rsidRPr="00B52516">
              <w:rPr>
                <w:rFonts w:eastAsia="Times New Roman" w:cs="Times New Roman"/>
                <w:color w:val="3C4043"/>
                <w:sz w:val="20"/>
                <w:szCs w:val="20"/>
                <w:lang w:val="en"/>
              </w:rPr>
              <w:t>“</w:t>
            </w:r>
            <w:r w:rsidRPr="00B52516">
              <w:rPr>
                <w:bCs/>
                <w:color w:val="000000" w:themeColor="text1"/>
                <w:sz w:val="20"/>
                <w:szCs w:val="20"/>
              </w:rPr>
              <w:t xml:space="preserve">Adapting </w:t>
            </w:r>
            <w:r w:rsidRPr="00B52516">
              <w:rPr>
                <w:bCs/>
                <w:color w:val="FF0000"/>
                <w:sz w:val="20"/>
                <w:szCs w:val="20"/>
              </w:rPr>
              <w:t>VITI</w:t>
            </w:r>
            <w:r w:rsidRPr="00B52516">
              <w:rPr>
                <w:bCs/>
                <w:color w:val="000000" w:themeColor="text1"/>
                <w:sz w:val="20"/>
                <w:szCs w:val="20"/>
              </w:rPr>
              <w:t xml:space="preserve">culture to </w:t>
            </w:r>
            <w:r w:rsidRPr="00B52516">
              <w:rPr>
                <w:bCs/>
                <w:color w:val="FF0000"/>
                <w:sz w:val="20"/>
                <w:szCs w:val="20"/>
              </w:rPr>
              <w:t>CLIM</w:t>
            </w:r>
            <w:r w:rsidRPr="00B52516">
              <w:rPr>
                <w:bCs/>
                <w:color w:val="000000" w:themeColor="text1"/>
                <w:sz w:val="20"/>
                <w:szCs w:val="20"/>
              </w:rPr>
              <w:t>ate change by implementing ecosystem-based measures to maintain economic viability”,</w:t>
            </w:r>
          </w:p>
          <w:p w:rsidR="00450ED8" w:rsidRPr="00B52516" w:rsidRDefault="00450ED8" w:rsidP="00450ED8">
            <w:pPr>
              <w:pStyle w:val="NormalWeb"/>
              <w:spacing w:before="0" w:beforeAutospacing="0" w:after="0" w:afterAutospacing="0"/>
              <w:jc w:val="center"/>
              <w:rPr>
                <w:rFonts w:ascii="Trebuchet MS" w:hAnsi="Trebuchet MS"/>
                <w:color w:val="3C4043"/>
                <w:sz w:val="20"/>
                <w:szCs w:val="20"/>
                <w:lang w:val="en"/>
              </w:rPr>
            </w:pPr>
            <w:r w:rsidRPr="00B52516">
              <w:rPr>
                <w:rFonts w:ascii="Trebuchet MS" w:hAnsi="Trebuchet MS"/>
                <w:color w:val="3C4043"/>
                <w:sz w:val="20"/>
                <w:szCs w:val="20"/>
                <w:lang w:val="en"/>
              </w:rPr>
              <w:t>Justice and Youth Association JUST,</w:t>
            </w:r>
          </w:p>
          <w:p w:rsidR="00450ED8" w:rsidRPr="00B52516" w:rsidRDefault="00621F21" w:rsidP="00450ED8">
            <w:pPr>
              <w:pStyle w:val="NormalWeb"/>
              <w:spacing w:before="0" w:beforeAutospacing="0" w:after="0" w:afterAutospacing="0"/>
              <w:jc w:val="center"/>
              <w:rPr>
                <w:rFonts w:ascii="Trebuchet MS" w:hAnsi="Trebuchet MS"/>
                <w:sz w:val="20"/>
                <w:szCs w:val="20"/>
                <w:lang w:val="en"/>
              </w:rPr>
            </w:pPr>
            <w:r w:rsidRPr="00B52516">
              <w:rPr>
                <w:rFonts w:ascii="Trebuchet MS" w:hAnsi="Trebuchet MS"/>
                <w:sz w:val="20"/>
                <w:szCs w:val="20"/>
                <w:lang w:val="en"/>
              </w:rPr>
              <w:t>23.02.2026</w:t>
            </w:r>
          </w:p>
          <w:p w:rsidR="00450ED8" w:rsidRPr="00280E90" w:rsidRDefault="00450ED8" w:rsidP="00450ED8">
            <w:pPr>
              <w:pStyle w:val="NormalWeb"/>
              <w:spacing w:before="0" w:beforeAutospacing="0" w:after="0" w:afterAutospacing="0"/>
              <w:jc w:val="center"/>
              <w:rPr>
                <w:rFonts w:ascii="Trebuchet MS" w:hAnsi="Trebuchet MS"/>
                <w:sz w:val="16"/>
                <w:szCs w:val="16"/>
              </w:rPr>
            </w:pPr>
            <w:r w:rsidRPr="00B52516">
              <w:rPr>
                <w:rFonts w:ascii="Trebuchet MS" w:hAnsi="Trebuchet MS"/>
                <w:b/>
                <w:color w:val="3C4043"/>
                <w:sz w:val="20"/>
                <w:szCs w:val="20"/>
                <w:lang w:val="en"/>
              </w:rPr>
              <w:t>”The content of this material does not necessarily represent the official position of the European Union.”</w:t>
            </w:r>
          </w:p>
        </w:tc>
      </w:tr>
    </w:tbl>
    <w:p w:rsidR="00450ED8" w:rsidRPr="00280E90" w:rsidRDefault="00450ED8" w:rsidP="0016002D">
      <w:pPr>
        <w:rPr>
          <w:rFonts w:ascii="Trebuchet MS" w:hAnsi="Trebuchet MS"/>
        </w:rPr>
      </w:pPr>
    </w:p>
    <w:sectPr w:rsidR="00450ED8" w:rsidRPr="00280E90" w:rsidSect="00F23BBA">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BD" w:rsidRDefault="00CA44BD" w:rsidP="003C5DFC">
      <w:pPr>
        <w:spacing w:after="0" w:line="240" w:lineRule="auto"/>
      </w:pPr>
      <w:r>
        <w:separator/>
      </w:r>
    </w:p>
  </w:endnote>
  <w:endnote w:type="continuationSeparator" w:id="0">
    <w:p w:rsidR="00CA44BD" w:rsidRDefault="00CA44BD" w:rsidP="003C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BD" w:rsidRDefault="00CA44BD" w:rsidP="003C5DFC">
      <w:pPr>
        <w:spacing w:after="0" w:line="240" w:lineRule="auto"/>
      </w:pPr>
      <w:r>
        <w:separator/>
      </w:r>
    </w:p>
  </w:footnote>
  <w:footnote w:type="continuationSeparator" w:id="0">
    <w:p w:rsidR="00CA44BD" w:rsidRDefault="00CA44BD" w:rsidP="003C5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B5DF7"/>
    <w:multiLevelType w:val="hybridMultilevel"/>
    <w:tmpl w:val="D8801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16"/>
    <w:rsid w:val="000408EB"/>
    <w:rsid w:val="0016002D"/>
    <w:rsid w:val="001A1783"/>
    <w:rsid w:val="001D540C"/>
    <w:rsid w:val="00216890"/>
    <w:rsid w:val="00280E90"/>
    <w:rsid w:val="00356CFC"/>
    <w:rsid w:val="00361AEA"/>
    <w:rsid w:val="003C5DFC"/>
    <w:rsid w:val="004120E2"/>
    <w:rsid w:val="00450ED8"/>
    <w:rsid w:val="00455F24"/>
    <w:rsid w:val="00482941"/>
    <w:rsid w:val="00490D3D"/>
    <w:rsid w:val="004B1DEF"/>
    <w:rsid w:val="004D7303"/>
    <w:rsid w:val="005E4CB3"/>
    <w:rsid w:val="005F76C4"/>
    <w:rsid w:val="00621F21"/>
    <w:rsid w:val="00663ACC"/>
    <w:rsid w:val="006C37B7"/>
    <w:rsid w:val="00741387"/>
    <w:rsid w:val="007B321F"/>
    <w:rsid w:val="00814E3B"/>
    <w:rsid w:val="008C237F"/>
    <w:rsid w:val="008E5E40"/>
    <w:rsid w:val="009111D2"/>
    <w:rsid w:val="009A0316"/>
    <w:rsid w:val="009A21D1"/>
    <w:rsid w:val="00B34916"/>
    <w:rsid w:val="00B52516"/>
    <w:rsid w:val="00B84B44"/>
    <w:rsid w:val="00C81B12"/>
    <w:rsid w:val="00C939CD"/>
    <w:rsid w:val="00CA44BD"/>
    <w:rsid w:val="00CC0FED"/>
    <w:rsid w:val="00D26722"/>
    <w:rsid w:val="00D33B40"/>
    <w:rsid w:val="00E37B3F"/>
    <w:rsid w:val="00E972F7"/>
    <w:rsid w:val="00F11795"/>
    <w:rsid w:val="00F23BBA"/>
    <w:rsid w:val="00F26E35"/>
    <w:rsid w:val="00FA247C"/>
    <w:rsid w:val="00FC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726B"/>
  <w15:chartTrackingRefBased/>
  <w15:docId w15:val="{C126796D-E686-4BA4-B417-78A250E0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6002D"/>
    <w:pPr>
      <w:spacing w:after="0" w:line="240" w:lineRule="auto"/>
      <w:ind w:left="597"/>
      <w:outlineLvl w:val="0"/>
    </w:pPr>
    <w:rPr>
      <w:rFonts w:ascii="Trebuchet MS" w:eastAsia="Trebuchet MS" w:hAnsi="Trebuchet MS" w:cs="Trebuchet MS"/>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6CFC"/>
    <w:pPr>
      <w:spacing w:after="200" w:line="240" w:lineRule="auto"/>
    </w:pPr>
    <w:rPr>
      <w:i/>
      <w:iCs/>
      <w:color w:val="44546A" w:themeColor="text2"/>
      <w:sz w:val="18"/>
      <w:szCs w:val="18"/>
    </w:rPr>
  </w:style>
  <w:style w:type="paragraph" w:styleId="NormalWeb">
    <w:name w:val="Normal (Web)"/>
    <w:basedOn w:val="Normal"/>
    <w:uiPriority w:val="99"/>
    <w:unhideWhenUsed/>
    <w:rsid w:val="00FC257C"/>
    <w:pPr>
      <w:spacing w:before="100" w:beforeAutospacing="1" w:after="100" w:afterAutospacing="1" w:line="240" w:lineRule="auto"/>
    </w:pPr>
    <w:rPr>
      <w:rFonts w:eastAsia="Times New Roman" w:cs="Times New Roman"/>
      <w:sz w:val="24"/>
      <w:szCs w:val="24"/>
    </w:rPr>
  </w:style>
  <w:style w:type="paragraph" w:styleId="EndnoteText">
    <w:name w:val="endnote text"/>
    <w:basedOn w:val="Normal"/>
    <w:link w:val="EndnoteTextChar"/>
    <w:uiPriority w:val="99"/>
    <w:unhideWhenUsed/>
    <w:rsid w:val="003C5DFC"/>
    <w:pPr>
      <w:spacing w:after="0" w:line="240" w:lineRule="auto"/>
    </w:pPr>
    <w:rPr>
      <w:sz w:val="20"/>
      <w:szCs w:val="20"/>
    </w:rPr>
  </w:style>
  <w:style w:type="character" w:customStyle="1" w:styleId="EndnoteTextChar">
    <w:name w:val="Endnote Text Char"/>
    <w:basedOn w:val="DefaultParagraphFont"/>
    <w:link w:val="EndnoteText"/>
    <w:uiPriority w:val="99"/>
    <w:rsid w:val="003C5DFC"/>
    <w:rPr>
      <w:sz w:val="20"/>
      <w:szCs w:val="20"/>
    </w:rPr>
  </w:style>
  <w:style w:type="character" w:styleId="EndnoteReference">
    <w:name w:val="endnote reference"/>
    <w:basedOn w:val="DefaultParagraphFont"/>
    <w:uiPriority w:val="99"/>
    <w:semiHidden/>
    <w:unhideWhenUsed/>
    <w:rsid w:val="003C5DFC"/>
    <w:rPr>
      <w:vertAlign w:val="superscript"/>
    </w:rPr>
  </w:style>
  <w:style w:type="paragraph" w:styleId="BodyText">
    <w:name w:val="Body Text"/>
    <w:basedOn w:val="Normal"/>
    <w:link w:val="BodyTextChar"/>
    <w:uiPriority w:val="1"/>
    <w:qFormat/>
    <w:rsid w:val="00450ED8"/>
    <w:pPr>
      <w:spacing w:after="0" w:line="240" w:lineRule="auto"/>
    </w:pPr>
    <w:rPr>
      <w:rFonts w:ascii="Trebuchet MS" w:eastAsia="Trebuchet MS" w:hAnsi="Trebuchet MS" w:cs="Trebuchet MS"/>
      <w:szCs w:val="28"/>
    </w:rPr>
  </w:style>
  <w:style w:type="character" w:customStyle="1" w:styleId="BodyTextChar">
    <w:name w:val="Body Text Char"/>
    <w:basedOn w:val="DefaultParagraphFont"/>
    <w:link w:val="BodyText"/>
    <w:uiPriority w:val="1"/>
    <w:rsid w:val="00450ED8"/>
    <w:rPr>
      <w:rFonts w:ascii="Trebuchet MS" w:eastAsia="Trebuchet MS" w:hAnsi="Trebuchet MS" w:cs="Trebuchet MS"/>
      <w:szCs w:val="28"/>
    </w:rPr>
  </w:style>
  <w:style w:type="table" w:styleId="PlainTable3">
    <w:name w:val="Plain Table 3"/>
    <w:basedOn w:val="TableNormal"/>
    <w:uiPriority w:val="43"/>
    <w:rsid w:val="002168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1"/>
    <w:rsid w:val="0016002D"/>
    <w:rPr>
      <w:rFonts w:ascii="Trebuchet MS" w:eastAsia="Trebuchet MS" w:hAnsi="Trebuchet MS" w:cs="Trebuchet MS"/>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A96D-CA27-4460-8A1D-6FB98A05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LENOVO</cp:lastModifiedBy>
  <cp:revision>6</cp:revision>
  <dcterms:created xsi:type="dcterms:W3CDTF">2026-02-26T13:33:00Z</dcterms:created>
  <dcterms:modified xsi:type="dcterms:W3CDTF">2026-04-07T11:43:00Z</dcterms:modified>
</cp:coreProperties>
</file>