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21F" w:rsidRPr="0098114E" w:rsidRDefault="007B321F" w:rsidP="00356CFC">
      <w:pPr>
        <w:rPr>
          <w:rFonts w:ascii="Trebuchet MS" w:hAnsi="Trebuchet MS"/>
          <w:sz w:val="24"/>
          <w:szCs w:val="24"/>
        </w:rPr>
      </w:pPr>
    </w:p>
    <w:tbl>
      <w:tblPr>
        <w:tblStyle w:val="TableGrid"/>
        <w:tblpPr w:leftFromText="180" w:rightFromText="180" w:vertAnchor="text" w:horzAnchor="margin" w:tblpXSpec="right" w:tblpY="385"/>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663ACC" w:rsidRPr="0098114E" w:rsidTr="00E972F7">
        <w:trPr>
          <w:trHeight w:val="540"/>
        </w:trPr>
        <w:tc>
          <w:tcPr>
            <w:tcW w:w="3832" w:type="dxa"/>
          </w:tcPr>
          <w:p w:rsidR="00663ACC" w:rsidRPr="004C3AEB" w:rsidRDefault="00663ACC" w:rsidP="00E972F7">
            <w:pPr>
              <w:pStyle w:val="NormalWeb"/>
              <w:jc w:val="both"/>
              <w:rPr>
                <w:rFonts w:ascii="Trebuchet MS" w:hAnsi="Trebuchet MS"/>
                <w:b/>
                <w:sz w:val="20"/>
                <w:szCs w:val="20"/>
              </w:rPr>
            </w:pPr>
            <w:r w:rsidRPr="004C3AEB">
              <w:rPr>
                <w:rFonts w:ascii="Trebuchet MS" w:hAnsi="Trebuchet MS"/>
                <w:b/>
                <w:color w:val="151616"/>
                <w:sz w:val="20"/>
                <w:szCs w:val="20"/>
              </w:rPr>
              <w:t>Proiectul</w:t>
            </w:r>
            <w:r w:rsidRPr="004C3AEB">
              <w:rPr>
                <w:rFonts w:ascii="Trebuchet MS" w:hAnsi="Trebuchet MS"/>
                <w:b/>
                <w:color w:val="151616"/>
                <w:spacing w:val="-8"/>
                <w:sz w:val="20"/>
                <w:szCs w:val="20"/>
              </w:rPr>
              <w:t xml:space="preserve"> </w:t>
            </w:r>
            <w:r w:rsidRPr="004C3AEB">
              <w:rPr>
                <w:rFonts w:ascii="Trebuchet MS" w:hAnsi="Trebuchet MS"/>
                <w:b/>
                <w:color w:val="151616"/>
                <w:sz w:val="20"/>
                <w:szCs w:val="20"/>
              </w:rPr>
              <w:t xml:space="preserve">„Adaptarea </w:t>
            </w:r>
            <w:r w:rsidRPr="004C3AEB">
              <w:rPr>
                <w:rFonts w:ascii="Trebuchet MS" w:hAnsi="Trebuchet MS"/>
                <w:b/>
                <w:color w:val="FF0000"/>
                <w:sz w:val="20"/>
                <w:szCs w:val="20"/>
              </w:rPr>
              <w:t>VITI</w:t>
            </w:r>
            <w:r w:rsidRPr="004C3AEB">
              <w:rPr>
                <w:rFonts w:ascii="Trebuchet MS" w:hAnsi="Trebuchet MS"/>
                <w:b/>
                <w:color w:val="151616"/>
                <w:sz w:val="20"/>
                <w:szCs w:val="20"/>
              </w:rPr>
              <w:t xml:space="preserve">culturii la schimbările </w:t>
            </w:r>
            <w:r w:rsidRPr="004C3AEB">
              <w:rPr>
                <w:rFonts w:ascii="Trebuchet MS" w:hAnsi="Trebuchet MS"/>
                <w:b/>
                <w:color w:val="FF0000"/>
                <w:sz w:val="20"/>
                <w:szCs w:val="20"/>
              </w:rPr>
              <w:t>CLIM</w:t>
            </w:r>
            <w:r w:rsidRPr="004C3AEB">
              <w:rPr>
                <w:rFonts w:ascii="Trebuchet MS" w:hAnsi="Trebuchet MS"/>
                <w:b/>
                <w:color w:val="151616"/>
                <w:sz w:val="20"/>
                <w:szCs w:val="20"/>
              </w:rPr>
              <w:t>atice prin implementarea unor măsuri ecosistemice pentru menținerea viabilității economice”</w:t>
            </w:r>
            <w:r w:rsidRPr="004C3AEB">
              <w:rPr>
                <w:rFonts w:ascii="Trebuchet MS" w:hAnsi="Trebuchet MS"/>
                <w:b/>
                <w:sz w:val="20"/>
                <w:szCs w:val="20"/>
              </w:rPr>
              <w:t xml:space="preserve"> </w:t>
            </w:r>
            <w:r w:rsidRPr="004C3AEB">
              <w:rPr>
                <w:rFonts w:ascii="Trebuchet MS" w:hAnsi="Trebuchet MS"/>
                <w:b/>
                <w:color w:val="151616"/>
                <w:sz w:val="20"/>
                <w:szCs w:val="20"/>
              </w:rPr>
              <w:t>este</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cofinanțat</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de</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Uniunea</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Europeană</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din</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Fondul</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European</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de</w:t>
            </w:r>
            <w:r w:rsidRPr="004C3AEB">
              <w:rPr>
                <w:rFonts w:ascii="Trebuchet MS" w:hAnsi="Trebuchet MS"/>
                <w:b/>
                <w:color w:val="151616"/>
                <w:spacing w:val="-5"/>
                <w:sz w:val="20"/>
                <w:szCs w:val="20"/>
              </w:rPr>
              <w:t xml:space="preserve"> </w:t>
            </w:r>
            <w:r w:rsidRPr="004C3AEB">
              <w:rPr>
                <w:rFonts w:ascii="Trebuchet MS" w:hAnsi="Trebuchet MS"/>
                <w:b/>
                <w:color w:val="151616"/>
                <w:sz w:val="20"/>
                <w:szCs w:val="20"/>
              </w:rPr>
              <w:t>Dezvoltare Regională în cadrul Programului Interreg VI-A</w:t>
            </w:r>
            <w:r w:rsidRPr="004C3AEB">
              <w:rPr>
                <w:rFonts w:ascii="Trebuchet MS" w:hAnsi="Trebuchet MS"/>
                <w:b/>
                <w:color w:val="151616"/>
                <w:spacing w:val="-4"/>
                <w:sz w:val="20"/>
                <w:szCs w:val="20"/>
              </w:rPr>
              <w:t xml:space="preserve"> </w:t>
            </w:r>
            <w:r w:rsidRPr="004C3AEB">
              <w:rPr>
                <w:rFonts w:ascii="Trebuchet MS" w:hAnsi="Trebuchet MS"/>
                <w:b/>
                <w:color w:val="151616"/>
                <w:sz w:val="20"/>
                <w:szCs w:val="20"/>
              </w:rPr>
              <w:t>România – Bulgaria</w:t>
            </w:r>
          </w:p>
        </w:tc>
      </w:tr>
    </w:tbl>
    <w:p w:rsidR="00C81B12" w:rsidRPr="0098114E" w:rsidRDefault="00741387" w:rsidP="00741387">
      <w:pPr>
        <w:rPr>
          <w:rFonts w:ascii="Trebuchet MS" w:hAnsi="Trebuchet MS"/>
          <w:sz w:val="24"/>
          <w:szCs w:val="24"/>
        </w:rPr>
      </w:pPr>
      <w:r w:rsidRPr="0098114E">
        <w:rPr>
          <w:rFonts w:ascii="Trebuchet MS" w:hAnsi="Trebuchet MS"/>
          <w:noProof/>
          <w:sz w:val="24"/>
          <w:szCs w:val="24"/>
        </w:rPr>
        <w:drawing>
          <wp:inline distT="0" distB="0" distL="0" distR="0" wp14:anchorId="35A9BE9C" wp14:editId="4C0246CE">
            <wp:extent cx="3496310" cy="1055319"/>
            <wp:effectExtent l="0" t="0" r="0" b="0"/>
            <wp:docPr id="9" name="Picture 9" descr="C:\Users\Maria\AppData\Local\Temp\ef4f7c58-11c3-4b61-94be-c293e5021fba_vim-logos-policy-icons-png (1).zip.fba\LOGO\RO\Interreg Logo Romania-Bulgaria RGB Colo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AppData\Local\Temp\ef4f7c58-11c3-4b61-94be-c293e5021fba_vim-logos-policy-icons-png (1).zip.fba\LOGO\RO\Interreg Logo Romania-Bulgaria RGB Color-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1619" cy="1072013"/>
                    </a:xfrm>
                    <a:prstGeom prst="rect">
                      <a:avLst/>
                    </a:prstGeom>
                    <a:noFill/>
                    <a:ln>
                      <a:noFill/>
                    </a:ln>
                  </pic:spPr>
                </pic:pic>
              </a:graphicData>
            </a:graphic>
          </wp:inline>
        </w:drawing>
      </w:r>
    </w:p>
    <w:p w:rsidR="004C3AEB" w:rsidRDefault="004C3AEB" w:rsidP="003161C9">
      <w:pPr>
        <w:pStyle w:val="NormalWeb"/>
        <w:jc w:val="center"/>
        <w:rPr>
          <w:rFonts w:ascii="Trebuchet MS" w:hAnsi="Trebuchet MS"/>
          <w:b/>
        </w:rPr>
      </w:pPr>
    </w:p>
    <w:p w:rsidR="004C3AEB" w:rsidRDefault="004C3AEB" w:rsidP="003161C9">
      <w:pPr>
        <w:pStyle w:val="NormalWeb"/>
        <w:jc w:val="center"/>
        <w:rPr>
          <w:rFonts w:ascii="Trebuchet MS" w:hAnsi="Trebuchet MS"/>
          <w:b/>
        </w:rPr>
      </w:pPr>
    </w:p>
    <w:p w:rsidR="003161C9" w:rsidRPr="0098114E" w:rsidRDefault="003161C9" w:rsidP="003161C9">
      <w:pPr>
        <w:pStyle w:val="NormalWeb"/>
        <w:jc w:val="center"/>
        <w:rPr>
          <w:rFonts w:ascii="Trebuchet MS" w:hAnsi="Trebuchet MS"/>
          <w:b/>
        </w:rPr>
      </w:pPr>
      <w:r w:rsidRPr="0098114E">
        <w:rPr>
          <w:rFonts w:ascii="Trebuchet MS" w:hAnsi="Trebuchet MS"/>
          <w:b/>
        </w:rPr>
        <w:t>Comunicat de presă</w:t>
      </w:r>
    </w:p>
    <w:p w:rsidR="003161C9" w:rsidRPr="0098114E" w:rsidRDefault="003161C9" w:rsidP="00364D6A">
      <w:pPr>
        <w:pStyle w:val="NormalWeb"/>
        <w:jc w:val="both"/>
        <w:rPr>
          <w:rFonts w:ascii="Trebuchet MS" w:hAnsi="Trebuchet MS" w:cs="Arial"/>
          <w:color w:val="222222"/>
        </w:rPr>
      </w:pPr>
      <w:r w:rsidRPr="0098114E">
        <w:rPr>
          <w:rFonts w:ascii="Trebuchet MS" w:hAnsi="Trebuchet MS"/>
        </w:rPr>
        <w:t>Universitatea din Craiova</w:t>
      </w:r>
      <w:r w:rsidR="00A812B8" w:rsidRPr="0098114E">
        <w:rPr>
          <w:rFonts w:ascii="Trebuchet MS" w:hAnsi="Trebuchet MS"/>
        </w:rPr>
        <w:t xml:space="preserve"> anunț</w:t>
      </w:r>
      <w:r w:rsidRPr="0098114E">
        <w:rPr>
          <w:rFonts w:ascii="Trebuchet MS" w:hAnsi="Trebuchet MS"/>
        </w:rPr>
        <w:t>ă începerea implementării proiectului cu titlul</w:t>
      </w:r>
      <w:r w:rsidR="00364D6A" w:rsidRPr="0098114E">
        <w:rPr>
          <w:rFonts w:ascii="Trebuchet MS" w:hAnsi="Trebuchet MS"/>
        </w:rPr>
        <w:t xml:space="preserve"> “</w:t>
      </w:r>
      <w:r w:rsidR="00364D6A" w:rsidRPr="0098114E">
        <w:rPr>
          <w:rFonts w:ascii="Trebuchet MS" w:hAnsi="Trebuchet MS" w:cs="Arial"/>
          <w:i/>
          <w:color w:val="222222"/>
        </w:rPr>
        <w:t>Adaptarea viticulturii la schimbările climatice prin implementarea unor măsuri ecosistemice pentru menținerea viabilității economice”</w:t>
      </w:r>
      <w:r w:rsidR="00364D6A" w:rsidRPr="0098114E">
        <w:rPr>
          <w:rFonts w:ascii="Trebuchet MS" w:hAnsi="Trebuchet MS" w:cs="Arial"/>
          <w:color w:val="222222"/>
        </w:rPr>
        <w:t>.</w:t>
      </w:r>
    </w:p>
    <w:p w:rsidR="00652DAE" w:rsidRDefault="00652DAE" w:rsidP="00364D6A">
      <w:pPr>
        <w:pStyle w:val="NormalWeb"/>
        <w:jc w:val="both"/>
        <w:rPr>
          <w:rFonts w:ascii="Trebuchet MS" w:hAnsi="Trebuchet MS"/>
          <w:b/>
          <w:color w:val="151616"/>
        </w:rPr>
      </w:pPr>
    </w:p>
    <w:p w:rsidR="00A812B8" w:rsidRPr="00652DAE" w:rsidRDefault="00A812B8" w:rsidP="00364D6A">
      <w:pPr>
        <w:pStyle w:val="NormalWeb"/>
        <w:jc w:val="both"/>
        <w:rPr>
          <w:rFonts w:ascii="Trebuchet MS" w:hAnsi="Trebuchet MS" w:cs="Arial"/>
          <w:b/>
          <w:color w:val="222222"/>
        </w:rPr>
      </w:pPr>
      <w:r w:rsidRPr="00652DAE">
        <w:rPr>
          <w:rFonts w:ascii="Trebuchet MS" w:hAnsi="Trebuchet MS"/>
          <w:b/>
          <w:color w:val="151616"/>
        </w:rPr>
        <w:t>PROGRAMUL INTERREG VI-A</w:t>
      </w:r>
      <w:r w:rsidRPr="00652DAE">
        <w:rPr>
          <w:rFonts w:ascii="Trebuchet MS" w:hAnsi="Trebuchet MS"/>
          <w:b/>
          <w:color w:val="151616"/>
          <w:spacing w:val="-4"/>
        </w:rPr>
        <w:t xml:space="preserve"> </w:t>
      </w:r>
      <w:r w:rsidRPr="00652DAE">
        <w:rPr>
          <w:rFonts w:ascii="Trebuchet MS" w:hAnsi="Trebuchet MS"/>
          <w:b/>
          <w:color w:val="151616"/>
        </w:rPr>
        <w:t>ROMÂNIA – BULGARIA</w:t>
      </w:r>
    </w:p>
    <w:p w:rsidR="00A812B8" w:rsidRPr="0098114E" w:rsidRDefault="00A812B8" w:rsidP="00A812B8">
      <w:pPr>
        <w:jc w:val="both"/>
        <w:rPr>
          <w:rFonts w:ascii="Trebuchet MS" w:hAnsi="Trebuchet MS"/>
          <w:color w:val="151616"/>
          <w:spacing w:val="-19"/>
          <w:sz w:val="24"/>
          <w:szCs w:val="24"/>
        </w:rPr>
      </w:pPr>
      <w:r w:rsidRPr="00652DAE">
        <w:rPr>
          <w:rFonts w:ascii="Trebuchet MS" w:hAnsi="Trebuchet MS"/>
          <w:b/>
          <w:color w:val="151616"/>
          <w:sz w:val="24"/>
          <w:szCs w:val="24"/>
        </w:rPr>
        <w:t>Codul</w:t>
      </w:r>
      <w:r w:rsidRPr="00652DAE">
        <w:rPr>
          <w:rFonts w:ascii="Trebuchet MS" w:hAnsi="Trebuchet MS"/>
          <w:b/>
          <w:color w:val="151616"/>
          <w:spacing w:val="-8"/>
          <w:sz w:val="24"/>
          <w:szCs w:val="24"/>
        </w:rPr>
        <w:t xml:space="preserve"> </w:t>
      </w:r>
      <w:r w:rsidRPr="00652DAE">
        <w:rPr>
          <w:rFonts w:ascii="Trebuchet MS" w:hAnsi="Trebuchet MS"/>
          <w:b/>
          <w:color w:val="151616"/>
          <w:sz w:val="24"/>
          <w:szCs w:val="24"/>
        </w:rPr>
        <w:t>proiectului</w:t>
      </w:r>
      <w:r w:rsidRPr="0098114E">
        <w:rPr>
          <w:rFonts w:ascii="Trebuchet MS" w:hAnsi="Trebuchet MS"/>
          <w:color w:val="151616"/>
          <w:sz w:val="24"/>
          <w:szCs w:val="24"/>
        </w:rPr>
        <w:t>:</w:t>
      </w:r>
      <w:r w:rsidRPr="0098114E">
        <w:rPr>
          <w:rFonts w:ascii="Trebuchet MS" w:hAnsi="Trebuchet MS"/>
          <w:color w:val="151616"/>
          <w:spacing w:val="-8"/>
          <w:sz w:val="24"/>
          <w:szCs w:val="24"/>
        </w:rPr>
        <w:t xml:space="preserve"> </w:t>
      </w:r>
      <w:r w:rsidRPr="0098114E">
        <w:rPr>
          <w:rFonts w:ascii="Trebuchet MS" w:hAnsi="Trebuchet MS"/>
          <w:sz w:val="24"/>
          <w:szCs w:val="24"/>
        </w:rPr>
        <w:t>ROBG00370</w:t>
      </w:r>
    </w:p>
    <w:p w:rsidR="00A812B8" w:rsidRPr="0098114E" w:rsidRDefault="00A812B8" w:rsidP="00A812B8">
      <w:pPr>
        <w:jc w:val="both"/>
        <w:rPr>
          <w:rFonts w:ascii="Trebuchet MS" w:hAnsi="Trebuchet MS"/>
          <w:color w:val="151616"/>
          <w:sz w:val="24"/>
          <w:szCs w:val="24"/>
        </w:rPr>
      </w:pPr>
      <w:r w:rsidRPr="00652DAE">
        <w:rPr>
          <w:rFonts w:ascii="Trebuchet MS" w:hAnsi="Trebuchet MS"/>
          <w:b/>
          <w:color w:val="151616"/>
          <w:sz w:val="24"/>
          <w:szCs w:val="24"/>
        </w:rPr>
        <w:t>Acronimul</w:t>
      </w:r>
      <w:r w:rsidRPr="00652DAE">
        <w:rPr>
          <w:rFonts w:ascii="Trebuchet MS" w:hAnsi="Trebuchet MS"/>
          <w:b/>
          <w:color w:val="151616"/>
          <w:spacing w:val="-7"/>
          <w:sz w:val="24"/>
          <w:szCs w:val="24"/>
        </w:rPr>
        <w:t xml:space="preserve"> </w:t>
      </w:r>
      <w:r w:rsidRPr="00652DAE">
        <w:rPr>
          <w:rFonts w:ascii="Trebuchet MS" w:hAnsi="Trebuchet MS"/>
          <w:b/>
          <w:color w:val="151616"/>
          <w:sz w:val="24"/>
          <w:szCs w:val="24"/>
        </w:rPr>
        <w:t>proiectului</w:t>
      </w:r>
      <w:r w:rsidRPr="0098114E">
        <w:rPr>
          <w:rFonts w:ascii="Trebuchet MS" w:hAnsi="Trebuchet MS"/>
          <w:color w:val="151616"/>
          <w:sz w:val="24"/>
          <w:szCs w:val="24"/>
        </w:rPr>
        <w:t>:</w:t>
      </w:r>
      <w:r w:rsidRPr="0098114E">
        <w:rPr>
          <w:rFonts w:ascii="Trebuchet MS" w:hAnsi="Trebuchet MS"/>
          <w:color w:val="151616"/>
          <w:spacing w:val="-8"/>
          <w:sz w:val="24"/>
          <w:szCs w:val="24"/>
        </w:rPr>
        <w:t xml:space="preserve"> </w:t>
      </w:r>
      <w:r w:rsidRPr="0098114E">
        <w:rPr>
          <w:rFonts w:ascii="Trebuchet MS" w:hAnsi="Trebuchet MS"/>
          <w:color w:val="151616"/>
          <w:sz w:val="24"/>
          <w:szCs w:val="24"/>
        </w:rPr>
        <w:t>VitiClimRoBg-Hard</w:t>
      </w:r>
    </w:p>
    <w:p w:rsidR="00A812B8" w:rsidRPr="0098114E" w:rsidRDefault="00A812B8" w:rsidP="00A812B8">
      <w:pPr>
        <w:jc w:val="both"/>
        <w:rPr>
          <w:rFonts w:ascii="Trebuchet MS" w:hAnsi="Trebuchet MS"/>
          <w:sz w:val="24"/>
          <w:szCs w:val="24"/>
        </w:rPr>
      </w:pPr>
      <w:r w:rsidRPr="00652DAE">
        <w:rPr>
          <w:rFonts w:ascii="Trebuchet MS" w:hAnsi="Trebuchet MS"/>
          <w:b/>
          <w:color w:val="151616"/>
          <w:sz w:val="24"/>
          <w:szCs w:val="24"/>
        </w:rPr>
        <w:t>Durata</w:t>
      </w:r>
      <w:r w:rsidRPr="0098114E">
        <w:rPr>
          <w:rFonts w:ascii="Trebuchet MS" w:hAnsi="Trebuchet MS"/>
          <w:color w:val="151616"/>
          <w:sz w:val="24"/>
          <w:szCs w:val="24"/>
        </w:rPr>
        <w:t>: Decembrie 2025 – Decembrie 2027</w:t>
      </w:r>
    </w:p>
    <w:p w:rsidR="00A812B8" w:rsidRPr="0098114E" w:rsidRDefault="00A812B8" w:rsidP="00A812B8">
      <w:pPr>
        <w:jc w:val="both"/>
        <w:rPr>
          <w:rFonts w:ascii="Trebuchet MS" w:hAnsi="Trebuchet MS"/>
          <w:sz w:val="24"/>
          <w:szCs w:val="24"/>
        </w:rPr>
      </w:pPr>
      <w:r w:rsidRPr="00652DAE">
        <w:rPr>
          <w:rFonts w:ascii="Trebuchet MS" w:hAnsi="Trebuchet MS"/>
          <w:b/>
          <w:color w:val="151616"/>
          <w:sz w:val="24"/>
          <w:szCs w:val="24"/>
        </w:rPr>
        <w:t>Buget</w:t>
      </w:r>
      <w:r w:rsidRPr="00652DAE">
        <w:rPr>
          <w:rFonts w:ascii="Trebuchet MS" w:hAnsi="Trebuchet MS"/>
          <w:b/>
          <w:color w:val="151616"/>
          <w:spacing w:val="-9"/>
          <w:sz w:val="24"/>
          <w:szCs w:val="24"/>
        </w:rPr>
        <w:t xml:space="preserve"> </w:t>
      </w:r>
      <w:r w:rsidRPr="00652DAE">
        <w:rPr>
          <w:rFonts w:ascii="Trebuchet MS" w:hAnsi="Trebuchet MS"/>
          <w:b/>
          <w:color w:val="151616"/>
          <w:sz w:val="24"/>
          <w:szCs w:val="24"/>
        </w:rPr>
        <w:t>total</w:t>
      </w:r>
      <w:r w:rsidRPr="0098114E">
        <w:rPr>
          <w:rFonts w:ascii="Trebuchet MS" w:hAnsi="Trebuchet MS"/>
          <w:color w:val="151616"/>
          <w:sz w:val="24"/>
          <w:szCs w:val="24"/>
        </w:rPr>
        <w:t>:</w:t>
      </w:r>
      <w:r w:rsidRPr="0098114E">
        <w:rPr>
          <w:rFonts w:ascii="Trebuchet MS" w:hAnsi="Trebuchet MS"/>
          <w:color w:val="151616"/>
          <w:spacing w:val="-8"/>
          <w:sz w:val="24"/>
          <w:szCs w:val="24"/>
        </w:rPr>
        <w:t xml:space="preserve"> </w:t>
      </w:r>
      <w:r w:rsidRPr="0098114E">
        <w:rPr>
          <w:rFonts w:ascii="Trebuchet MS" w:hAnsi="Trebuchet MS"/>
          <w:sz w:val="24"/>
          <w:szCs w:val="24"/>
        </w:rPr>
        <w:t xml:space="preserve">1.610.750,22 </w:t>
      </w:r>
      <w:r w:rsidRPr="0098114E">
        <w:rPr>
          <w:rFonts w:ascii="Trebuchet MS" w:hAnsi="Trebuchet MS"/>
          <w:color w:val="151616"/>
          <w:spacing w:val="-4"/>
          <w:sz w:val="24"/>
          <w:szCs w:val="24"/>
        </w:rPr>
        <w:t>euro</w:t>
      </w:r>
    </w:p>
    <w:p w:rsidR="00A812B8" w:rsidRPr="0098114E" w:rsidRDefault="00A812B8" w:rsidP="00A812B8">
      <w:pPr>
        <w:spacing w:line="266" w:lineRule="auto"/>
        <w:jc w:val="both"/>
        <w:rPr>
          <w:rFonts w:ascii="Trebuchet MS" w:hAnsi="Trebuchet MS"/>
          <w:color w:val="151616"/>
          <w:sz w:val="24"/>
          <w:szCs w:val="24"/>
        </w:rPr>
      </w:pPr>
      <w:r w:rsidRPr="0098114E">
        <w:rPr>
          <w:rFonts w:ascii="Trebuchet MS" w:hAnsi="Trebuchet MS"/>
          <w:color w:val="151616"/>
          <w:sz w:val="24"/>
          <w:szCs w:val="24"/>
        </w:rPr>
        <w:t>Cofinan</w:t>
      </w:r>
      <w:r w:rsidRPr="0098114E">
        <w:rPr>
          <w:rFonts w:ascii="Trebuchet MS" w:hAnsi="Trebuchet MS"/>
          <w:color w:val="151616"/>
          <w:sz w:val="24"/>
          <w:szCs w:val="24"/>
          <w:lang w:val="ro-RO"/>
        </w:rPr>
        <w:t>ț</w:t>
      </w:r>
      <w:r w:rsidRPr="0098114E">
        <w:rPr>
          <w:rFonts w:ascii="Trebuchet MS" w:hAnsi="Trebuchet MS"/>
          <w:color w:val="151616"/>
          <w:sz w:val="24"/>
          <w:szCs w:val="24"/>
        </w:rPr>
        <w:t>area</w:t>
      </w:r>
      <w:r w:rsidRPr="0098114E">
        <w:rPr>
          <w:rFonts w:ascii="Trebuchet MS" w:hAnsi="Trebuchet MS"/>
          <w:color w:val="151616"/>
          <w:spacing w:val="-9"/>
          <w:sz w:val="24"/>
          <w:szCs w:val="24"/>
        </w:rPr>
        <w:t xml:space="preserve"> </w:t>
      </w:r>
      <w:r w:rsidRPr="0098114E">
        <w:rPr>
          <w:rFonts w:ascii="Trebuchet MS" w:hAnsi="Trebuchet MS"/>
          <w:color w:val="151616"/>
          <w:sz w:val="24"/>
          <w:szCs w:val="24"/>
        </w:rPr>
        <w:t>Uniunii</w:t>
      </w:r>
      <w:r w:rsidRPr="0098114E">
        <w:rPr>
          <w:rFonts w:ascii="Trebuchet MS" w:hAnsi="Trebuchet MS"/>
          <w:color w:val="151616"/>
          <w:spacing w:val="-10"/>
          <w:sz w:val="24"/>
          <w:szCs w:val="24"/>
        </w:rPr>
        <w:t xml:space="preserve"> </w:t>
      </w:r>
      <w:r w:rsidRPr="0098114E">
        <w:rPr>
          <w:rFonts w:ascii="Trebuchet MS" w:hAnsi="Trebuchet MS"/>
          <w:color w:val="151616"/>
          <w:sz w:val="24"/>
          <w:szCs w:val="24"/>
        </w:rPr>
        <w:t>Europene din Fondul</w:t>
      </w:r>
      <w:r w:rsidRPr="0098114E">
        <w:rPr>
          <w:rFonts w:ascii="Trebuchet MS" w:hAnsi="Trebuchet MS"/>
          <w:color w:val="151616"/>
          <w:spacing w:val="-5"/>
          <w:sz w:val="24"/>
          <w:szCs w:val="24"/>
        </w:rPr>
        <w:t xml:space="preserve"> </w:t>
      </w:r>
      <w:r w:rsidRPr="0098114E">
        <w:rPr>
          <w:rFonts w:ascii="Trebuchet MS" w:hAnsi="Trebuchet MS"/>
          <w:color w:val="151616"/>
          <w:sz w:val="24"/>
          <w:szCs w:val="24"/>
        </w:rPr>
        <w:t>European</w:t>
      </w:r>
      <w:r w:rsidRPr="0098114E">
        <w:rPr>
          <w:rFonts w:ascii="Trebuchet MS" w:hAnsi="Trebuchet MS"/>
          <w:color w:val="151616"/>
          <w:spacing w:val="-5"/>
          <w:sz w:val="24"/>
          <w:szCs w:val="24"/>
        </w:rPr>
        <w:t xml:space="preserve"> </w:t>
      </w:r>
      <w:r w:rsidRPr="0098114E">
        <w:rPr>
          <w:rFonts w:ascii="Trebuchet MS" w:hAnsi="Trebuchet MS"/>
          <w:color w:val="151616"/>
          <w:sz w:val="24"/>
          <w:szCs w:val="24"/>
        </w:rPr>
        <w:t>de</w:t>
      </w:r>
      <w:r w:rsidRPr="0098114E">
        <w:rPr>
          <w:rFonts w:ascii="Trebuchet MS" w:hAnsi="Trebuchet MS"/>
          <w:color w:val="151616"/>
          <w:spacing w:val="-5"/>
          <w:sz w:val="24"/>
          <w:szCs w:val="24"/>
        </w:rPr>
        <w:t xml:space="preserve"> </w:t>
      </w:r>
      <w:r w:rsidRPr="0098114E">
        <w:rPr>
          <w:rFonts w:ascii="Trebuchet MS" w:hAnsi="Trebuchet MS"/>
          <w:color w:val="151616"/>
          <w:sz w:val="24"/>
          <w:szCs w:val="24"/>
        </w:rPr>
        <w:t>Dezvoltare Regională:</w:t>
      </w:r>
      <w:r w:rsidRPr="0098114E">
        <w:rPr>
          <w:rFonts w:ascii="Trebuchet MS" w:hAnsi="Trebuchet MS"/>
          <w:color w:val="151616"/>
          <w:spacing w:val="-9"/>
          <w:sz w:val="24"/>
          <w:szCs w:val="24"/>
        </w:rPr>
        <w:t xml:space="preserve"> </w:t>
      </w:r>
      <w:r w:rsidRPr="0098114E">
        <w:rPr>
          <w:rFonts w:ascii="Trebuchet MS" w:hAnsi="Trebuchet MS"/>
          <w:sz w:val="24"/>
          <w:szCs w:val="24"/>
        </w:rPr>
        <w:t xml:space="preserve">1.288.600,16 </w:t>
      </w:r>
      <w:r w:rsidRPr="0098114E">
        <w:rPr>
          <w:rFonts w:ascii="Trebuchet MS" w:hAnsi="Trebuchet MS"/>
          <w:color w:val="151616"/>
          <w:sz w:val="24"/>
          <w:szCs w:val="24"/>
        </w:rPr>
        <w:t xml:space="preserve">euro </w:t>
      </w:r>
    </w:p>
    <w:p w:rsidR="00A812B8" w:rsidRPr="0098114E" w:rsidRDefault="00A812B8" w:rsidP="00A812B8">
      <w:pPr>
        <w:spacing w:line="266" w:lineRule="auto"/>
        <w:jc w:val="both"/>
        <w:rPr>
          <w:rFonts w:ascii="Trebuchet MS" w:hAnsi="Trebuchet MS"/>
          <w:color w:val="151616"/>
          <w:sz w:val="24"/>
          <w:szCs w:val="24"/>
        </w:rPr>
      </w:pPr>
      <w:r w:rsidRPr="00652DAE">
        <w:rPr>
          <w:rFonts w:ascii="Trebuchet MS" w:hAnsi="Trebuchet MS"/>
          <w:b/>
          <w:color w:val="151616"/>
          <w:sz w:val="24"/>
          <w:szCs w:val="24"/>
        </w:rPr>
        <w:t>Prioritatea programului</w:t>
      </w:r>
      <w:r w:rsidRPr="0098114E">
        <w:rPr>
          <w:rFonts w:ascii="Trebuchet MS" w:hAnsi="Trebuchet MS"/>
          <w:color w:val="151616"/>
          <w:sz w:val="24"/>
          <w:szCs w:val="24"/>
        </w:rPr>
        <w:t xml:space="preserve">: O regiune mai verde </w:t>
      </w:r>
    </w:p>
    <w:p w:rsidR="00364D6A" w:rsidRPr="0098114E" w:rsidRDefault="00A812B8" w:rsidP="00A812B8">
      <w:pPr>
        <w:pStyle w:val="NormalWeb"/>
        <w:jc w:val="both"/>
        <w:rPr>
          <w:rFonts w:ascii="Trebuchet MS" w:hAnsi="Trebuchet MS"/>
        </w:rPr>
      </w:pPr>
      <w:r w:rsidRPr="00652DAE">
        <w:rPr>
          <w:rFonts w:ascii="Trebuchet MS" w:hAnsi="Trebuchet MS"/>
          <w:b/>
          <w:color w:val="151616"/>
        </w:rPr>
        <w:t>Obiectiv</w:t>
      </w:r>
      <w:r w:rsidRPr="00652DAE">
        <w:rPr>
          <w:rFonts w:ascii="Trebuchet MS" w:hAnsi="Trebuchet MS"/>
          <w:b/>
          <w:color w:val="151616"/>
          <w:spacing w:val="-1"/>
        </w:rPr>
        <w:t xml:space="preserve"> </w:t>
      </w:r>
      <w:r w:rsidRPr="00652DAE">
        <w:rPr>
          <w:rFonts w:ascii="Trebuchet MS" w:hAnsi="Trebuchet MS"/>
          <w:b/>
          <w:color w:val="151616"/>
        </w:rPr>
        <w:t>specific 2.4:</w:t>
      </w:r>
      <w:r w:rsidRPr="0098114E">
        <w:rPr>
          <w:rFonts w:ascii="Trebuchet MS" w:hAnsi="Trebuchet MS"/>
          <w:color w:val="151616"/>
        </w:rPr>
        <w:t xml:space="preserve"> Promovarea adaptării la schimbările climatice și a prevenirii riscurilor de dezastre, a rezilienței, luând în considerare abordările bazate pe ecosistem</w:t>
      </w:r>
    </w:p>
    <w:p w:rsidR="00A27B87" w:rsidRPr="0098114E" w:rsidRDefault="00A27B87" w:rsidP="00A27B87">
      <w:pPr>
        <w:pStyle w:val="Heading1"/>
        <w:ind w:left="0"/>
        <w:jc w:val="both"/>
        <w:rPr>
          <w:b w:val="0"/>
          <w:color w:val="151616"/>
          <w:sz w:val="24"/>
          <w:szCs w:val="24"/>
        </w:rPr>
      </w:pPr>
      <w:r w:rsidRPr="00652DAE">
        <w:rPr>
          <w:color w:val="151616"/>
          <w:spacing w:val="-2"/>
          <w:sz w:val="24"/>
          <w:szCs w:val="24"/>
        </w:rPr>
        <w:t>Scop</w:t>
      </w:r>
      <w:r w:rsidRPr="0098114E">
        <w:rPr>
          <w:b w:val="0"/>
          <w:color w:val="151616"/>
          <w:spacing w:val="-2"/>
          <w:sz w:val="24"/>
          <w:szCs w:val="24"/>
        </w:rPr>
        <w:t xml:space="preserve">: </w:t>
      </w:r>
      <w:r w:rsidRPr="0098114E">
        <w:rPr>
          <w:b w:val="0"/>
          <w:color w:val="151616"/>
          <w:sz w:val="24"/>
          <w:szCs w:val="24"/>
        </w:rPr>
        <w:t>Proiectul își propune să construiască practici și infrastructuri viticole rezistente la schimbările climatice în regiunile transfrontaliere din sud-vestul României și nord-vestul Bulgariei. Acesta se concentrează colectiv pe îmbunătățirea rezistenței podgoriilor la schimbările climatice prin soluții inovatoare, cum ar fi viticultura de precizie, gestionarea inteligentă a apei, sistemele verzi și cooperarea transfrontalieră. Prin integrarea tehnologiilor digitale, crearea unei rețele de colaborare și dezvoltarea unei infrastructuri durabile, aceste proiecte se străduiesc să protejeze viticultura și să asigure viabilitatea acesteia pe termen lung.</w:t>
      </w:r>
    </w:p>
    <w:p w:rsidR="00A27B87" w:rsidRPr="0098114E" w:rsidRDefault="00A27B87" w:rsidP="00A27B87">
      <w:pPr>
        <w:pStyle w:val="BodyText"/>
        <w:jc w:val="both"/>
        <w:rPr>
          <w:sz w:val="24"/>
          <w:szCs w:val="24"/>
        </w:rPr>
      </w:pPr>
    </w:p>
    <w:p w:rsidR="004C3AEB" w:rsidRPr="00652DAE" w:rsidRDefault="00A27B87" w:rsidP="00A27B87">
      <w:pPr>
        <w:pStyle w:val="Heading1"/>
        <w:ind w:left="0"/>
        <w:jc w:val="both"/>
        <w:rPr>
          <w:color w:val="151616"/>
          <w:spacing w:val="-2"/>
          <w:sz w:val="24"/>
          <w:szCs w:val="24"/>
        </w:rPr>
      </w:pPr>
      <w:r w:rsidRPr="00652DAE">
        <w:rPr>
          <w:color w:val="151616"/>
          <w:spacing w:val="-2"/>
          <w:sz w:val="24"/>
          <w:szCs w:val="24"/>
        </w:rPr>
        <w:t xml:space="preserve">Activități: </w:t>
      </w:r>
    </w:p>
    <w:p w:rsidR="004C3AEB" w:rsidRDefault="00A27B87" w:rsidP="00A27B87">
      <w:pPr>
        <w:pStyle w:val="Heading1"/>
        <w:ind w:left="0"/>
        <w:jc w:val="both"/>
        <w:rPr>
          <w:b w:val="0"/>
          <w:sz w:val="24"/>
          <w:szCs w:val="24"/>
        </w:rPr>
      </w:pPr>
      <w:r w:rsidRPr="0098114E">
        <w:rPr>
          <w:b w:val="0"/>
          <w:color w:val="151616"/>
          <w:spacing w:val="-2"/>
          <w:sz w:val="24"/>
          <w:szCs w:val="24"/>
        </w:rPr>
        <w:t xml:space="preserve">1. </w:t>
      </w:r>
      <w:r w:rsidRPr="0098114E">
        <w:rPr>
          <w:b w:val="0"/>
          <w:sz w:val="24"/>
          <w:szCs w:val="24"/>
        </w:rPr>
        <w:t xml:space="preserve">Acțiune pilot pentru viticultură rezistentă la schimbările climatice (VitiResearch); </w:t>
      </w:r>
    </w:p>
    <w:p w:rsidR="00A27B87" w:rsidRPr="0098114E" w:rsidRDefault="00A27B87" w:rsidP="00A27B87">
      <w:pPr>
        <w:pStyle w:val="Heading1"/>
        <w:ind w:left="0"/>
        <w:jc w:val="both"/>
        <w:rPr>
          <w:b w:val="0"/>
          <w:sz w:val="24"/>
          <w:szCs w:val="24"/>
        </w:rPr>
      </w:pPr>
      <w:r w:rsidRPr="0098114E">
        <w:rPr>
          <w:b w:val="0"/>
          <w:sz w:val="24"/>
          <w:szCs w:val="24"/>
        </w:rPr>
        <w:t>2. Rețeaua de colaborare transfrontalieră pentru viticultură adaptată la schimbările climatice (VitiNet)</w:t>
      </w:r>
    </w:p>
    <w:p w:rsidR="00252A80" w:rsidRPr="0098114E" w:rsidRDefault="00252A80" w:rsidP="00A27B87">
      <w:pPr>
        <w:pStyle w:val="Heading1"/>
        <w:ind w:left="0"/>
        <w:jc w:val="both"/>
        <w:rPr>
          <w:b w:val="0"/>
          <w:sz w:val="24"/>
          <w:szCs w:val="24"/>
        </w:rPr>
      </w:pPr>
    </w:p>
    <w:p w:rsidR="00652DAE" w:rsidRDefault="00652DAE" w:rsidP="00A27B87">
      <w:pPr>
        <w:pStyle w:val="Heading1"/>
        <w:ind w:left="0"/>
        <w:jc w:val="both"/>
        <w:rPr>
          <w:sz w:val="24"/>
          <w:szCs w:val="24"/>
        </w:rPr>
      </w:pPr>
    </w:p>
    <w:p w:rsidR="00252A80" w:rsidRPr="00652DAE" w:rsidRDefault="00252A80" w:rsidP="00A27B87">
      <w:pPr>
        <w:pStyle w:val="Heading1"/>
        <w:ind w:left="0"/>
        <w:jc w:val="both"/>
        <w:rPr>
          <w:sz w:val="24"/>
          <w:szCs w:val="24"/>
        </w:rPr>
      </w:pPr>
      <w:r w:rsidRPr="00652DAE">
        <w:rPr>
          <w:sz w:val="24"/>
          <w:szCs w:val="24"/>
        </w:rPr>
        <w:lastRenderedPageBreak/>
        <w:t>Rezultate:</w:t>
      </w:r>
    </w:p>
    <w:p w:rsidR="00252A80" w:rsidRPr="0098114E" w:rsidRDefault="00252A80" w:rsidP="00252A80">
      <w:pPr>
        <w:jc w:val="both"/>
        <w:rPr>
          <w:rFonts w:ascii="Trebuchet MS" w:hAnsi="Trebuchet MS" w:cs="Times New Roman"/>
          <w:sz w:val="24"/>
          <w:szCs w:val="24"/>
          <w:lang w:val="pt-BR"/>
        </w:rPr>
      </w:pPr>
    </w:p>
    <w:p w:rsidR="00252A80" w:rsidRPr="0098114E" w:rsidRDefault="00252A80" w:rsidP="00252A80">
      <w:pPr>
        <w:pStyle w:val="NormalWeb"/>
        <w:numPr>
          <w:ilvl w:val="0"/>
          <w:numId w:val="4"/>
        </w:numPr>
        <w:spacing w:before="0" w:beforeAutospacing="0" w:after="0" w:afterAutospacing="0"/>
        <w:jc w:val="both"/>
        <w:rPr>
          <w:rFonts w:ascii="Trebuchet MS" w:hAnsi="Trebuchet MS"/>
          <w:lang w:val="pt-BR"/>
        </w:rPr>
      </w:pPr>
      <w:r w:rsidRPr="0098114E">
        <w:rPr>
          <w:rStyle w:val="Strong"/>
          <w:rFonts w:ascii="Trebuchet MS" w:hAnsi="Trebuchet MS"/>
          <w:lang w:val="pt-BR"/>
        </w:rPr>
        <w:t>Un sistem digital de monitorizare climatică și avertizare timpurie</w:t>
      </w:r>
      <w:r w:rsidRPr="0098114E">
        <w:rPr>
          <w:rFonts w:ascii="Trebuchet MS" w:hAnsi="Trebuchet MS"/>
          <w:lang w:val="pt-BR"/>
        </w:rPr>
        <w:t xml:space="preserve">, care să sprijine managementul viilor și deciziile rapide în fața riscurilor. </w:t>
      </w:r>
    </w:p>
    <w:p w:rsidR="00252A80" w:rsidRPr="0098114E" w:rsidRDefault="00252A80" w:rsidP="00252A80">
      <w:pPr>
        <w:pStyle w:val="NormalWeb"/>
        <w:numPr>
          <w:ilvl w:val="0"/>
          <w:numId w:val="4"/>
        </w:numPr>
        <w:spacing w:before="0" w:beforeAutospacing="0" w:after="0" w:afterAutospacing="0"/>
        <w:jc w:val="both"/>
        <w:rPr>
          <w:rFonts w:ascii="Trebuchet MS" w:hAnsi="Trebuchet MS"/>
          <w:lang w:val="pt-BR"/>
        </w:rPr>
      </w:pPr>
      <w:r w:rsidRPr="0098114E">
        <w:rPr>
          <w:rStyle w:val="Strong"/>
          <w:rFonts w:ascii="Trebuchet MS" w:hAnsi="Trebuchet MS"/>
          <w:lang w:val="pt-BR"/>
        </w:rPr>
        <w:t>Soluții de viticultură de precizie și infrastructură pentru adaptare</w:t>
      </w:r>
      <w:r w:rsidRPr="0098114E">
        <w:rPr>
          <w:rFonts w:ascii="Trebuchet MS" w:hAnsi="Trebuchet MS"/>
          <w:lang w:val="pt-BR"/>
        </w:rPr>
        <w:t>, inclusiv monitorizare avansată, integrarea tehnologiilor digitale</w:t>
      </w:r>
      <w:r w:rsidRPr="0098114E">
        <w:rPr>
          <w:rFonts w:ascii="Trebuchet MS" w:hAnsi="Trebuchet MS"/>
          <w:lang w:val="ro-RO"/>
        </w:rPr>
        <w:t>.</w:t>
      </w:r>
    </w:p>
    <w:p w:rsidR="00252A80" w:rsidRPr="0098114E" w:rsidRDefault="00252A80" w:rsidP="00252A80">
      <w:pPr>
        <w:pStyle w:val="NormalWeb"/>
        <w:numPr>
          <w:ilvl w:val="0"/>
          <w:numId w:val="4"/>
        </w:numPr>
        <w:spacing w:before="0" w:beforeAutospacing="0" w:after="0" w:afterAutospacing="0"/>
        <w:jc w:val="both"/>
        <w:rPr>
          <w:rFonts w:ascii="Trebuchet MS" w:hAnsi="Trebuchet MS"/>
          <w:lang w:val="pt-BR"/>
        </w:rPr>
      </w:pPr>
      <w:r w:rsidRPr="0098114E">
        <w:rPr>
          <w:rStyle w:val="Strong"/>
          <w:rFonts w:ascii="Trebuchet MS" w:hAnsi="Trebuchet MS"/>
          <w:lang w:val="pt-BR"/>
        </w:rPr>
        <w:t>Material viticol și cercetare aplicată</w:t>
      </w:r>
      <w:r w:rsidRPr="0098114E">
        <w:rPr>
          <w:rFonts w:ascii="Trebuchet MS" w:hAnsi="Trebuchet MS"/>
          <w:lang w:val="pt-BR"/>
        </w:rPr>
        <w:t xml:space="preserve">: expertiza științifică și dezvoltarea/analiza de </w:t>
      </w:r>
      <w:r w:rsidRPr="0098114E">
        <w:rPr>
          <w:rStyle w:val="Strong"/>
          <w:rFonts w:ascii="Trebuchet MS" w:hAnsi="Trebuchet MS"/>
          <w:lang w:val="pt-BR"/>
        </w:rPr>
        <w:t xml:space="preserve">resurse genetice și varietăți </w:t>
      </w:r>
      <w:r w:rsidRPr="0098114E">
        <w:rPr>
          <w:rStyle w:val="Strong"/>
          <w:rFonts w:ascii="Trebuchet MS" w:hAnsi="Trebuchet MS"/>
          <w:lang w:val="ro-RO"/>
        </w:rPr>
        <w:t xml:space="preserve">de soiuri de viță de vie </w:t>
      </w:r>
      <w:r w:rsidRPr="0098114E">
        <w:rPr>
          <w:rStyle w:val="Strong"/>
          <w:rFonts w:ascii="Trebuchet MS" w:hAnsi="Trebuchet MS"/>
          <w:lang w:val="pt-BR"/>
        </w:rPr>
        <w:t>mai rezistente la stres climatic</w:t>
      </w:r>
      <w:r w:rsidRPr="0098114E">
        <w:rPr>
          <w:rFonts w:ascii="Trebuchet MS" w:hAnsi="Trebuchet MS"/>
          <w:lang w:val="pt-BR"/>
        </w:rPr>
        <w:t xml:space="preserve">, susținute de infrastructură de laborator. </w:t>
      </w:r>
    </w:p>
    <w:p w:rsidR="00252A80" w:rsidRPr="0098114E" w:rsidRDefault="00252A80" w:rsidP="00252A80">
      <w:pPr>
        <w:pStyle w:val="NormalWeb"/>
        <w:numPr>
          <w:ilvl w:val="0"/>
          <w:numId w:val="4"/>
        </w:numPr>
        <w:spacing w:before="0" w:beforeAutospacing="0" w:after="0" w:afterAutospacing="0"/>
        <w:jc w:val="both"/>
        <w:rPr>
          <w:rFonts w:ascii="Trebuchet MS" w:hAnsi="Trebuchet MS"/>
          <w:lang w:val="pt-BR"/>
        </w:rPr>
      </w:pPr>
      <w:r w:rsidRPr="0098114E">
        <w:rPr>
          <w:rStyle w:val="Strong"/>
          <w:rFonts w:ascii="Trebuchet MS" w:hAnsi="Trebuchet MS"/>
          <w:lang w:val="pt-BR"/>
        </w:rPr>
        <w:t>Măsuri bazate pe ecosisteme</w:t>
      </w:r>
      <w:r w:rsidRPr="0098114E">
        <w:rPr>
          <w:rFonts w:ascii="Trebuchet MS" w:hAnsi="Trebuchet MS"/>
          <w:lang w:val="pt-BR"/>
        </w:rPr>
        <w:t xml:space="preserve">, precum </w:t>
      </w:r>
      <w:r w:rsidRPr="0098114E">
        <w:rPr>
          <w:rFonts w:ascii="Trebuchet MS" w:hAnsi="Trebuchet MS"/>
          <w:lang w:val="ro-RO"/>
        </w:rPr>
        <w:t>zona de</w:t>
      </w:r>
      <w:r w:rsidRPr="0098114E">
        <w:rPr>
          <w:rStyle w:val="Strong"/>
          <w:rFonts w:ascii="Trebuchet MS" w:hAnsi="Trebuchet MS"/>
          <w:lang w:val="pt-BR"/>
        </w:rPr>
        <w:t xml:space="preserve"> tampon ver</w:t>
      </w:r>
      <w:r w:rsidRPr="0098114E">
        <w:rPr>
          <w:rStyle w:val="Strong"/>
          <w:rFonts w:ascii="Trebuchet MS" w:hAnsi="Trebuchet MS"/>
          <w:lang w:val="ro-RO"/>
        </w:rPr>
        <w:t>de cu rol de a</w:t>
      </w:r>
      <w:r w:rsidRPr="0098114E">
        <w:rPr>
          <w:rFonts w:ascii="Trebuchet MS" w:hAnsi="Trebuchet MS"/>
          <w:lang w:val="pt-BR"/>
        </w:rPr>
        <w:t xml:space="preserve"> protej</w:t>
      </w:r>
      <w:r w:rsidRPr="0098114E">
        <w:rPr>
          <w:rFonts w:ascii="Trebuchet MS" w:hAnsi="Trebuchet MS"/>
          <w:lang w:val="ro-RO"/>
        </w:rPr>
        <w:t>a</w:t>
      </w:r>
      <w:r w:rsidRPr="0098114E">
        <w:rPr>
          <w:rFonts w:ascii="Trebuchet MS" w:hAnsi="Trebuchet MS"/>
          <w:lang w:val="pt-BR"/>
        </w:rPr>
        <w:t xml:space="preserve"> plantațiile, susțin</w:t>
      </w:r>
      <w:r w:rsidRPr="0098114E">
        <w:rPr>
          <w:rFonts w:ascii="Trebuchet MS" w:hAnsi="Trebuchet MS"/>
          <w:lang w:val="ro-RO"/>
        </w:rPr>
        <w:t>e</w:t>
      </w:r>
      <w:r w:rsidRPr="0098114E">
        <w:rPr>
          <w:rFonts w:ascii="Trebuchet MS" w:hAnsi="Trebuchet MS"/>
          <w:lang w:val="pt-BR"/>
        </w:rPr>
        <w:t xml:space="preserve"> biodiversitatea și contribuie la reziliența solului. </w:t>
      </w:r>
    </w:p>
    <w:p w:rsidR="00252A80" w:rsidRPr="0098114E" w:rsidRDefault="00252A80" w:rsidP="00252A80">
      <w:pPr>
        <w:pStyle w:val="NormalWeb"/>
        <w:numPr>
          <w:ilvl w:val="0"/>
          <w:numId w:val="4"/>
        </w:numPr>
        <w:spacing w:before="0" w:beforeAutospacing="0" w:after="0" w:afterAutospacing="0"/>
        <w:jc w:val="both"/>
        <w:rPr>
          <w:rFonts w:ascii="Trebuchet MS" w:hAnsi="Trebuchet MS"/>
          <w:lang w:val="pt-BR"/>
        </w:rPr>
      </w:pPr>
      <w:r w:rsidRPr="0098114E">
        <w:rPr>
          <w:rStyle w:val="Strong"/>
          <w:rFonts w:ascii="Trebuchet MS" w:hAnsi="Trebuchet MS"/>
          <w:lang w:val="pt-BR"/>
        </w:rPr>
        <w:t>Un hub transfrontalier de cooperare</w:t>
      </w:r>
      <w:r w:rsidRPr="0098114E">
        <w:rPr>
          <w:rFonts w:ascii="Trebuchet MS" w:hAnsi="Trebuchet MS"/>
          <w:lang w:val="pt-BR"/>
        </w:rPr>
        <w:t xml:space="preserve">, o </w:t>
      </w:r>
      <w:r w:rsidRPr="0098114E">
        <w:rPr>
          <w:rStyle w:val="Strong"/>
          <w:rFonts w:ascii="Trebuchet MS" w:hAnsi="Trebuchet MS"/>
          <w:lang w:val="pt-BR"/>
        </w:rPr>
        <w:t>platformă interactivă multilingvă</w:t>
      </w:r>
      <w:r w:rsidRPr="0098114E">
        <w:rPr>
          <w:rFonts w:ascii="Trebuchet MS" w:hAnsi="Trebuchet MS"/>
          <w:lang w:val="pt-BR"/>
        </w:rPr>
        <w:t xml:space="preserve"> și activități consistente de transfer: instruiri, ateliere, resurse digitale, materiale și diseminare către viticultori, cercetători, administrații și comunități. </w:t>
      </w:r>
    </w:p>
    <w:p w:rsidR="00252A80" w:rsidRPr="0098114E" w:rsidRDefault="00252A80" w:rsidP="00A27B87">
      <w:pPr>
        <w:pStyle w:val="Heading1"/>
        <w:ind w:left="0"/>
        <w:jc w:val="both"/>
        <w:rPr>
          <w:b w:val="0"/>
          <w:sz w:val="24"/>
          <w:szCs w:val="24"/>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bookmarkStart w:id="0" w:name="_GoBack"/>
      <w:bookmarkEnd w:id="0"/>
    </w:p>
    <w:p w:rsidR="00633C12" w:rsidRDefault="00633C12" w:rsidP="00A27B87">
      <w:pPr>
        <w:pStyle w:val="NormalWeb"/>
        <w:spacing w:before="0" w:beforeAutospacing="0" w:after="0" w:afterAutospacing="0"/>
        <w:jc w:val="both"/>
        <w:rPr>
          <w:rFonts w:ascii="Trebuchet MS" w:hAnsi="Trebuchet MS"/>
        </w:rPr>
      </w:pPr>
    </w:p>
    <w:p w:rsidR="00633C12" w:rsidRDefault="00633C12" w:rsidP="00A27B87">
      <w:pPr>
        <w:pStyle w:val="NormalWeb"/>
        <w:spacing w:before="0" w:beforeAutospacing="0" w:after="0" w:afterAutospacing="0"/>
        <w:jc w:val="both"/>
        <w:rPr>
          <w:rFonts w:ascii="Trebuchet MS" w:hAnsi="Trebuchet MS"/>
        </w:rPr>
      </w:pPr>
    </w:p>
    <w:p w:rsidR="00633C12" w:rsidRDefault="00633C12" w:rsidP="00A27B87">
      <w:pPr>
        <w:pStyle w:val="NormalWeb"/>
        <w:spacing w:before="0" w:beforeAutospacing="0" w:after="0" w:afterAutospacing="0"/>
        <w:jc w:val="both"/>
        <w:rPr>
          <w:rFonts w:ascii="Trebuchet MS" w:hAnsi="Trebuchet MS"/>
        </w:rPr>
      </w:pPr>
    </w:p>
    <w:p w:rsidR="00633C12" w:rsidRDefault="00633C12" w:rsidP="00A27B87">
      <w:pPr>
        <w:pStyle w:val="NormalWeb"/>
        <w:spacing w:before="0" w:beforeAutospacing="0" w:after="0" w:afterAutospacing="0"/>
        <w:jc w:val="both"/>
        <w:rPr>
          <w:rFonts w:ascii="Trebuchet MS" w:hAnsi="Trebuchet MS"/>
        </w:rPr>
      </w:pPr>
    </w:p>
    <w:p w:rsidR="00633C12" w:rsidRDefault="00633C12" w:rsidP="00A27B87">
      <w:pPr>
        <w:pStyle w:val="NormalWeb"/>
        <w:spacing w:before="0" w:beforeAutospacing="0" w:after="0" w:afterAutospacing="0"/>
        <w:jc w:val="both"/>
        <w:rPr>
          <w:rFonts w:ascii="Trebuchet MS" w:hAnsi="Trebuchet MS"/>
        </w:rPr>
      </w:pPr>
    </w:p>
    <w:p w:rsidR="00633C12" w:rsidRDefault="00633C12" w:rsidP="00A27B87">
      <w:pPr>
        <w:pStyle w:val="NormalWeb"/>
        <w:spacing w:before="0" w:beforeAutospacing="0" w:after="0" w:afterAutospacing="0"/>
        <w:jc w:val="both"/>
        <w:rPr>
          <w:rFonts w:ascii="Trebuchet MS" w:hAnsi="Trebuchet MS"/>
        </w:rPr>
      </w:pPr>
    </w:p>
    <w:p w:rsidR="00633C12" w:rsidRDefault="00633C12"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98114E" w:rsidRDefault="0098114E" w:rsidP="00A27B87">
      <w:pPr>
        <w:pStyle w:val="NormalWeb"/>
        <w:spacing w:before="0" w:beforeAutospacing="0" w:after="0" w:afterAutospacing="0"/>
        <w:jc w:val="both"/>
        <w:rPr>
          <w:rFonts w:ascii="Trebuchet MS" w:hAnsi="Trebuchet MS"/>
        </w:rPr>
      </w:pPr>
    </w:p>
    <w:p w:rsidR="00FC257C" w:rsidRPr="0098114E" w:rsidRDefault="00A27B87" w:rsidP="00A27B87">
      <w:pPr>
        <w:pStyle w:val="NormalWeb"/>
        <w:spacing w:before="0" w:beforeAutospacing="0" w:after="0" w:afterAutospacing="0"/>
        <w:jc w:val="both"/>
        <w:rPr>
          <w:rFonts w:ascii="Trebuchet MS" w:hAnsi="Trebuchet MS"/>
        </w:rPr>
      </w:pPr>
      <w:r w:rsidRPr="0098114E">
        <w:rPr>
          <w:rFonts w:ascii="Trebuchet MS" w:hAnsi="Trebuchet MS"/>
        </w:rPr>
        <w:br/>
      </w:r>
    </w:p>
    <w:tbl>
      <w:tblPr>
        <w:tblStyle w:val="TableGrid"/>
        <w:tblpPr w:leftFromText="180" w:rightFromText="180" w:vertAnchor="text" w:tblpY="1"/>
        <w:tblOverlap w:val="never"/>
        <w:tblW w:w="0" w:type="auto"/>
        <w:tblLook w:val="04A0" w:firstRow="1" w:lastRow="0" w:firstColumn="1" w:lastColumn="0" w:noHBand="0" w:noVBand="1"/>
      </w:tblPr>
      <w:tblGrid>
        <w:gridCol w:w="9629"/>
      </w:tblGrid>
      <w:tr w:rsidR="00FC257C" w:rsidRPr="0098114E" w:rsidTr="00FC257C">
        <w:trPr>
          <w:cantSplit/>
          <w:trHeight w:val="1134"/>
        </w:trPr>
        <w:tc>
          <w:tcPr>
            <w:tcW w:w="9629" w:type="dxa"/>
            <w:vAlign w:val="center"/>
          </w:tcPr>
          <w:p w:rsidR="00FC257C" w:rsidRPr="0098114E" w:rsidRDefault="00FC257C" w:rsidP="00FC257C">
            <w:pPr>
              <w:jc w:val="center"/>
              <w:rPr>
                <w:rFonts w:ascii="Trebuchet MS" w:hAnsi="Trebuchet MS"/>
                <w:b/>
                <w:color w:val="000000" w:themeColor="text1"/>
                <w:sz w:val="24"/>
                <w:szCs w:val="24"/>
              </w:rPr>
            </w:pPr>
            <w:r w:rsidRPr="0098114E">
              <w:rPr>
                <w:rFonts w:ascii="Trebuchet MS" w:hAnsi="Trebuchet MS"/>
                <w:b/>
                <w:color w:val="151616"/>
                <w:sz w:val="24"/>
                <w:szCs w:val="24"/>
              </w:rPr>
              <w:t xml:space="preserve">Proiectul „Adaptarea </w:t>
            </w:r>
            <w:r w:rsidRPr="0098114E">
              <w:rPr>
                <w:rFonts w:ascii="Trebuchet MS" w:hAnsi="Trebuchet MS"/>
                <w:b/>
                <w:color w:val="FF0000"/>
                <w:sz w:val="24"/>
                <w:szCs w:val="24"/>
              </w:rPr>
              <w:t>VITI</w:t>
            </w:r>
            <w:r w:rsidRPr="0098114E">
              <w:rPr>
                <w:rFonts w:ascii="Trebuchet MS" w:hAnsi="Trebuchet MS"/>
                <w:b/>
                <w:color w:val="151616"/>
                <w:sz w:val="24"/>
                <w:szCs w:val="24"/>
              </w:rPr>
              <w:t xml:space="preserve">culturii la schimbările </w:t>
            </w:r>
            <w:r w:rsidRPr="0098114E">
              <w:rPr>
                <w:rFonts w:ascii="Trebuchet MS" w:hAnsi="Trebuchet MS"/>
                <w:b/>
                <w:color w:val="FF0000"/>
                <w:sz w:val="24"/>
                <w:szCs w:val="24"/>
              </w:rPr>
              <w:t>CLIM</w:t>
            </w:r>
            <w:r w:rsidRPr="0098114E">
              <w:rPr>
                <w:rFonts w:ascii="Trebuchet MS" w:hAnsi="Trebuchet MS"/>
                <w:b/>
                <w:color w:val="151616"/>
                <w:sz w:val="24"/>
                <w:szCs w:val="24"/>
              </w:rPr>
              <w:t>atice prin implementarea unor măsuri ecosistemice pentru menținerea viabilității economice”</w:t>
            </w:r>
            <w:r w:rsidRPr="0098114E">
              <w:rPr>
                <w:rFonts w:ascii="Trebuchet MS" w:hAnsi="Trebuchet MS"/>
                <w:b/>
                <w:color w:val="000000" w:themeColor="text1"/>
                <w:sz w:val="24"/>
                <w:szCs w:val="24"/>
              </w:rPr>
              <w:t>,</w:t>
            </w:r>
          </w:p>
          <w:p w:rsidR="00FC257C" w:rsidRPr="0098114E" w:rsidRDefault="00FC257C" w:rsidP="00FC257C">
            <w:pPr>
              <w:jc w:val="center"/>
              <w:rPr>
                <w:rFonts w:ascii="Trebuchet MS" w:hAnsi="Trebuchet MS"/>
                <w:b/>
                <w:color w:val="000000" w:themeColor="text1"/>
                <w:sz w:val="24"/>
                <w:szCs w:val="24"/>
              </w:rPr>
            </w:pPr>
            <w:r w:rsidRPr="0098114E">
              <w:rPr>
                <w:rFonts w:ascii="Trebuchet MS" w:hAnsi="Trebuchet MS"/>
                <w:b/>
                <w:color w:val="000000" w:themeColor="text1"/>
                <w:sz w:val="24"/>
                <w:szCs w:val="24"/>
              </w:rPr>
              <w:t>Asociația Justiție și Tineret JUST,</w:t>
            </w:r>
          </w:p>
          <w:p w:rsidR="00FC257C" w:rsidRPr="0098114E" w:rsidRDefault="003161C9" w:rsidP="00FC257C">
            <w:pPr>
              <w:jc w:val="center"/>
              <w:rPr>
                <w:rFonts w:ascii="Trebuchet MS" w:hAnsi="Trebuchet MS"/>
                <w:b/>
                <w:noProof/>
                <w:color w:val="FF0000"/>
                <w:sz w:val="24"/>
                <w:szCs w:val="24"/>
              </w:rPr>
            </w:pPr>
            <w:r w:rsidRPr="0098114E">
              <w:rPr>
                <w:rFonts w:ascii="Trebuchet MS" w:hAnsi="Trebuchet MS"/>
                <w:b/>
                <w:noProof/>
                <w:sz w:val="24"/>
                <w:szCs w:val="24"/>
              </w:rPr>
              <w:t>23.02.2026</w:t>
            </w:r>
          </w:p>
          <w:p w:rsidR="00FC257C" w:rsidRPr="0098114E" w:rsidRDefault="00FC257C" w:rsidP="00F11795">
            <w:pPr>
              <w:pStyle w:val="NormalWeb"/>
              <w:spacing w:before="0" w:beforeAutospacing="0" w:after="0" w:afterAutospacing="0"/>
              <w:jc w:val="center"/>
              <w:rPr>
                <w:rFonts w:ascii="Trebuchet MS" w:hAnsi="Trebuchet MS"/>
              </w:rPr>
            </w:pPr>
            <w:r w:rsidRPr="0098114E">
              <w:rPr>
                <w:rFonts w:ascii="Trebuchet MS" w:hAnsi="Trebuchet MS"/>
                <w:b/>
                <w:noProof/>
              </w:rPr>
              <w:t>”Conținutul acestui material nu reprezintă neapărat poziția  oficială  a Uniunii Europene.”</w:t>
            </w:r>
          </w:p>
        </w:tc>
      </w:tr>
    </w:tbl>
    <w:p w:rsidR="00450ED8" w:rsidRPr="0098114E" w:rsidRDefault="00450ED8" w:rsidP="003161C9">
      <w:pPr>
        <w:rPr>
          <w:rFonts w:ascii="Trebuchet MS" w:hAnsi="Trebuchet MS"/>
          <w:sz w:val="24"/>
          <w:szCs w:val="24"/>
        </w:rPr>
      </w:pPr>
    </w:p>
    <w:sectPr w:rsidR="00450ED8" w:rsidRPr="0098114E" w:rsidSect="00F23BBA">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E6A" w:rsidRDefault="008A0E6A" w:rsidP="003C5DFC">
      <w:pPr>
        <w:spacing w:after="0" w:line="240" w:lineRule="auto"/>
      </w:pPr>
      <w:r>
        <w:separator/>
      </w:r>
    </w:p>
  </w:endnote>
  <w:endnote w:type="continuationSeparator" w:id="0">
    <w:p w:rsidR="008A0E6A" w:rsidRDefault="008A0E6A" w:rsidP="003C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E6A" w:rsidRDefault="008A0E6A" w:rsidP="003C5DFC">
      <w:pPr>
        <w:spacing w:after="0" w:line="240" w:lineRule="auto"/>
      </w:pPr>
      <w:r>
        <w:separator/>
      </w:r>
    </w:p>
  </w:footnote>
  <w:footnote w:type="continuationSeparator" w:id="0">
    <w:p w:rsidR="008A0E6A" w:rsidRDefault="008A0E6A" w:rsidP="003C5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D70"/>
    <w:multiLevelType w:val="hybridMultilevel"/>
    <w:tmpl w:val="0CEC3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2DEC6"/>
    <w:multiLevelType w:val="singleLevel"/>
    <w:tmpl w:val="1E62DEC6"/>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B6C7C65"/>
    <w:multiLevelType w:val="hybridMultilevel"/>
    <w:tmpl w:val="10A622A8"/>
    <w:lvl w:ilvl="0" w:tplc="0F4C21EE">
      <w:start w:val="23"/>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2959F1"/>
    <w:multiLevelType w:val="hybridMultilevel"/>
    <w:tmpl w:val="9266CE80"/>
    <w:lvl w:ilvl="0" w:tplc="9EB4DB1E">
      <w:start w:val="23"/>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16"/>
    <w:rsid w:val="00027AD6"/>
    <w:rsid w:val="000408EB"/>
    <w:rsid w:val="00045EF4"/>
    <w:rsid w:val="001A1783"/>
    <w:rsid w:val="001D540C"/>
    <w:rsid w:val="00205029"/>
    <w:rsid w:val="00216890"/>
    <w:rsid w:val="00252A80"/>
    <w:rsid w:val="00280E90"/>
    <w:rsid w:val="003161C9"/>
    <w:rsid w:val="00356CFC"/>
    <w:rsid w:val="00361AEA"/>
    <w:rsid w:val="00364D6A"/>
    <w:rsid w:val="003C5DFC"/>
    <w:rsid w:val="004120E2"/>
    <w:rsid w:val="00450ED8"/>
    <w:rsid w:val="00455F24"/>
    <w:rsid w:val="00482941"/>
    <w:rsid w:val="004B1DEF"/>
    <w:rsid w:val="004C3AEB"/>
    <w:rsid w:val="004D7303"/>
    <w:rsid w:val="005E4CB3"/>
    <w:rsid w:val="005F76C4"/>
    <w:rsid w:val="00633C12"/>
    <w:rsid w:val="00652DAE"/>
    <w:rsid w:val="00663ACC"/>
    <w:rsid w:val="006C37B7"/>
    <w:rsid w:val="00741387"/>
    <w:rsid w:val="007B321F"/>
    <w:rsid w:val="00814E3B"/>
    <w:rsid w:val="008A0E6A"/>
    <w:rsid w:val="008C237F"/>
    <w:rsid w:val="009111D2"/>
    <w:rsid w:val="0098114E"/>
    <w:rsid w:val="009A21D1"/>
    <w:rsid w:val="00A27B87"/>
    <w:rsid w:val="00A552F2"/>
    <w:rsid w:val="00A812B8"/>
    <w:rsid w:val="00B34916"/>
    <w:rsid w:val="00B84B44"/>
    <w:rsid w:val="00C81B12"/>
    <w:rsid w:val="00C939CD"/>
    <w:rsid w:val="00CC0FED"/>
    <w:rsid w:val="00D33B40"/>
    <w:rsid w:val="00E37B3F"/>
    <w:rsid w:val="00E972F7"/>
    <w:rsid w:val="00ED4598"/>
    <w:rsid w:val="00F11795"/>
    <w:rsid w:val="00F23BBA"/>
    <w:rsid w:val="00F26E35"/>
    <w:rsid w:val="00F47439"/>
    <w:rsid w:val="00F711C1"/>
    <w:rsid w:val="00FC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45B8"/>
  <w15:chartTrackingRefBased/>
  <w15:docId w15:val="{C126796D-E686-4BA4-B417-78A250E0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27B87"/>
    <w:pPr>
      <w:spacing w:after="0" w:line="240" w:lineRule="auto"/>
      <w:ind w:left="597"/>
      <w:outlineLvl w:val="0"/>
    </w:pPr>
    <w:rPr>
      <w:rFonts w:ascii="Trebuchet MS" w:eastAsia="Trebuchet MS" w:hAnsi="Trebuchet MS" w:cs="Trebuchet MS"/>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6CFC"/>
    <w:pPr>
      <w:spacing w:after="200" w:line="240" w:lineRule="auto"/>
    </w:pPr>
    <w:rPr>
      <w:i/>
      <w:iCs/>
      <w:color w:val="44546A" w:themeColor="text2"/>
      <w:sz w:val="18"/>
      <w:szCs w:val="18"/>
    </w:rPr>
  </w:style>
  <w:style w:type="paragraph" w:styleId="NormalWeb">
    <w:name w:val="Normal (Web)"/>
    <w:basedOn w:val="Normal"/>
    <w:unhideWhenUsed/>
    <w:qFormat/>
    <w:rsid w:val="00FC257C"/>
    <w:pPr>
      <w:spacing w:before="100" w:beforeAutospacing="1" w:after="100" w:afterAutospacing="1" w:line="240" w:lineRule="auto"/>
    </w:pPr>
    <w:rPr>
      <w:rFonts w:eastAsia="Times New Roman" w:cs="Times New Roman"/>
      <w:sz w:val="24"/>
      <w:szCs w:val="24"/>
    </w:rPr>
  </w:style>
  <w:style w:type="paragraph" w:styleId="EndnoteText">
    <w:name w:val="endnote text"/>
    <w:basedOn w:val="Normal"/>
    <w:link w:val="EndnoteTextChar"/>
    <w:uiPriority w:val="99"/>
    <w:unhideWhenUsed/>
    <w:rsid w:val="003C5DFC"/>
    <w:pPr>
      <w:spacing w:after="0" w:line="240" w:lineRule="auto"/>
    </w:pPr>
    <w:rPr>
      <w:sz w:val="20"/>
      <w:szCs w:val="20"/>
    </w:rPr>
  </w:style>
  <w:style w:type="character" w:customStyle="1" w:styleId="EndnoteTextChar">
    <w:name w:val="Endnote Text Char"/>
    <w:basedOn w:val="DefaultParagraphFont"/>
    <w:link w:val="EndnoteText"/>
    <w:uiPriority w:val="99"/>
    <w:rsid w:val="003C5DFC"/>
    <w:rPr>
      <w:sz w:val="20"/>
      <w:szCs w:val="20"/>
    </w:rPr>
  </w:style>
  <w:style w:type="character" w:styleId="EndnoteReference">
    <w:name w:val="endnote reference"/>
    <w:basedOn w:val="DefaultParagraphFont"/>
    <w:uiPriority w:val="99"/>
    <w:semiHidden/>
    <w:unhideWhenUsed/>
    <w:rsid w:val="003C5DFC"/>
    <w:rPr>
      <w:vertAlign w:val="superscript"/>
    </w:rPr>
  </w:style>
  <w:style w:type="paragraph" w:styleId="BodyText">
    <w:name w:val="Body Text"/>
    <w:basedOn w:val="Normal"/>
    <w:link w:val="BodyTextChar"/>
    <w:uiPriority w:val="1"/>
    <w:qFormat/>
    <w:rsid w:val="00450ED8"/>
    <w:pPr>
      <w:spacing w:after="0" w:line="240" w:lineRule="auto"/>
    </w:pPr>
    <w:rPr>
      <w:rFonts w:ascii="Trebuchet MS" w:eastAsia="Trebuchet MS" w:hAnsi="Trebuchet MS" w:cs="Trebuchet MS"/>
      <w:szCs w:val="28"/>
    </w:rPr>
  </w:style>
  <w:style w:type="character" w:customStyle="1" w:styleId="BodyTextChar">
    <w:name w:val="Body Text Char"/>
    <w:basedOn w:val="DefaultParagraphFont"/>
    <w:link w:val="BodyText"/>
    <w:uiPriority w:val="1"/>
    <w:rsid w:val="00450ED8"/>
    <w:rPr>
      <w:rFonts w:ascii="Trebuchet MS" w:eastAsia="Trebuchet MS" w:hAnsi="Trebuchet MS" w:cs="Trebuchet MS"/>
      <w:szCs w:val="28"/>
    </w:rPr>
  </w:style>
  <w:style w:type="table" w:styleId="PlainTable3">
    <w:name w:val="Plain Table 3"/>
    <w:basedOn w:val="TableNormal"/>
    <w:uiPriority w:val="43"/>
    <w:rsid w:val="002168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1"/>
    <w:rsid w:val="00A27B87"/>
    <w:rPr>
      <w:rFonts w:ascii="Trebuchet MS" w:eastAsia="Trebuchet MS" w:hAnsi="Trebuchet MS" w:cs="Trebuchet MS"/>
      <w:b/>
      <w:bCs/>
      <w:sz w:val="40"/>
      <w:szCs w:val="40"/>
    </w:rPr>
  </w:style>
  <w:style w:type="paragraph" w:styleId="BalloonText">
    <w:name w:val="Balloon Text"/>
    <w:basedOn w:val="Normal"/>
    <w:link w:val="BalloonTextChar"/>
    <w:uiPriority w:val="99"/>
    <w:semiHidden/>
    <w:unhideWhenUsed/>
    <w:rsid w:val="00A27B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87"/>
    <w:rPr>
      <w:rFonts w:ascii="Segoe UI" w:hAnsi="Segoe UI" w:cs="Segoe UI"/>
      <w:sz w:val="18"/>
      <w:szCs w:val="18"/>
    </w:rPr>
  </w:style>
  <w:style w:type="character" w:styleId="Strong">
    <w:name w:val="Strong"/>
    <w:basedOn w:val="DefaultParagraphFont"/>
    <w:qFormat/>
    <w:rsid w:val="00252A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4E91-F6F6-4147-AC72-79B66316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LENOVO</cp:lastModifiedBy>
  <cp:revision>13</cp:revision>
  <dcterms:created xsi:type="dcterms:W3CDTF">2026-02-26T12:52:00Z</dcterms:created>
  <dcterms:modified xsi:type="dcterms:W3CDTF">2026-04-07T11:49:00Z</dcterms:modified>
</cp:coreProperties>
</file>