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03" w:rsidRPr="00280E90" w:rsidRDefault="004D7303" w:rsidP="007B321F">
      <w:pPr>
        <w:rPr>
          <w:rFonts w:ascii="Trebuchet MS" w:hAnsi="Trebuchet MS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</w:tblGrid>
      <w:tr w:rsidR="00482941" w:rsidRPr="00280E90" w:rsidTr="001D540C">
        <w:trPr>
          <w:trHeight w:val="366"/>
        </w:trPr>
        <w:tc>
          <w:tcPr>
            <w:tcW w:w="4804" w:type="dxa"/>
            <w:tcBorders>
              <w:left w:val="single" w:sz="4" w:space="0" w:color="auto"/>
            </w:tcBorders>
          </w:tcPr>
          <w:p w:rsidR="00482941" w:rsidRPr="008F4A39" w:rsidRDefault="008F4A39" w:rsidP="001D54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F4A39">
              <w:rPr>
                <w:rFonts w:ascii="Trebuchet MS" w:hAnsi="Trebuchet MS"/>
                <w:b/>
                <w:sz w:val="20"/>
                <w:szCs w:val="20"/>
              </w:rPr>
              <w:t>Проектът „Адаптиране на лозарството към климатичните промени чрез прилагане на екосистемни мерки за запазване на икономическата жизнеспособност“ е съфинансиран от Европейския съюз чрез Европейския фонд за регионално развитие по Програма Interreg VI-A Румъния – България.</w:t>
            </w:r>
          </w:p>
        </w:tc>
      </w:tr>
    </w:tbl>
    <w:p w:rsidR="00F11795" w:rsidRPr="00280E90" w:rsidRDefault="00482941" w:rsidP="007B321F">
      <w:pPr>
        <w:rPr>
          <w:rFonts w:ascii="Trebuchet MS" w:hAnsi="Trebuchet MS"/>
        </w:rPr>
      </w:pPr>
      <w:r w:rsidRPr="00280E90">
        <w:rPr>
          <w:rFonts w:ascii="Trebuchet MS" w:hAnsi="Trebuchet MS"/>
          <w:noProof/>
        </w:rPr>
        <w:drawing>
          <wp:inline distT="0" distB="0" distL="0" distR="0" wp14:anchorId="0D10C71C" wp14:editId="57B33717">
            <wp:extent cx="2937510" cy="885450"/>
            <wp:effectExtent l="0" t="0" r="0" b="0"/>
            <wp:docPr id="31" name="Picture 31" descr="C:\Users\Maria\AppData\Local\Temp\abed5b20-7935-4001-bf7a-eb6e7bd7eff8_vim-logos-policy-icons-png (7).zip.ff8\LOGO\ENG\Interreg Logo Romania-Bulgaria CMYK C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\AppData\Local\Temp\abed5b20-7935-4001-bf7a-eb6e7bd7eff8_vim-logos-policy-icons-png (7).zip.ff8\LOGO\ENG\Interreg Logo Romania-Bulgaria CMYK Color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75" cy="89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39" w:rsidRDefault="008F4A39" w:rsidP="004F324B">
      <w:pPr>
        <w:pStyle w:val="Heading2"/>
        <w:jc w:val="center"/>
        <w:rPr>
          <w:rStyle w:val="Strong"/>
          <w:rFonts w:ascii="Trebuchet MS" w:hAnsi="Trebuchet MS"/>
          <w:bCs w:val="0"/>
          <w:color w:val="auto"/>
          <w:sz w:val="22"/>
          <w:szCs w:val="22"/>
        </w:rPr>
      </w:pPr>
    </w:p>
    <w:p w:rsidR="008F4A39" w:rsidRDefault="008F4A39" w:rsidP="004F324B">
      <w:pPr>
        <w:pStyle w:val="Heading2"/>
        <w:jc w:val="center"/>
        <w:rPr>
          <w:rStyle w:val="Strong"/>
          <w:rFonts w:ascii="Trebuchet MS" w:hAnsi="Trebuchet MS"/>
          <w:bCs w:val="0"/>
          <w:color w:val="auto"/>
          <w:sz w:val="22"/>
          <w:szCs w:val="22"/>
        </w:rPr>
      </w:pPr>
    </w:p>
    <w:p w:rsidR="008F4A39" w:rsidRDefault="008F4A39" w:rsidP="004F324B">
      <w:pPr>
        <w:pStyle w:val="Heading2"/>
        <w:jc w:val="center"/>
        <w:rPr>
          <w:rStyle w:val="Strong"/>
          <w:rFonts w:ascii="Trebuchet MS" w:hAnsi="Trebuchet MS"/>
          <w:bCs w:val="0"/>
          <w:color w:val="auto"/>
          <w:sz w:val="22"/>
          <w:szCs w:val="22"/>
        </w:rPr>
      </w:pPr>
    </w:p>
    <w:p w:rsidR="004F324B" w:rsidRPr="004F324B" w:rsidRDefault="004F324B" w:rsidP="004F324B">
      <w:pPr>
        <w:pStyle w:val="Heading2"/>
        <w:jc w:val="center"/>
        <w:rPr>
          <w:rFonts w:ascii="Trebuchet MS" w:hAnsi="Trebuchet MS"/>
          <w:color w:val="auto"/>
          <w:sz w:val="22"/>
          <w:szCs w:val="22"/>
        </w:rPr>
      </w:pPr>
      <w:r w:rsidRPr="004F324B">
        <w:rPr>
          <w:rStyle w:val="Strong"/>
          <w:rFonts w:ascii="Trebuchet MS" w:hAnsi="Trebuchet MS"/>
          <w:bCs w:val="0"/>
          <w:color w:val="auto"/>
          <w:sz w:val="22"/>
          <w:szCs w:val="22"/>
        </w:rPr>
        <w:t>ПРЕССЪОБЩЕНИЕ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Fonts w:ascii="Trebuchet MS" w:hAnsi="Trebuchet MS"/>
          <w:sz w:val="22"/>
          <w:szCs w:val="22"/>
        </w:rPr>
        <w:t>Университетът в Крайова обявява началото на изпълнението на проекта „Адаптиране на лозарството към климатичните промени чрез прилагане на мерки, базирани на екосистемния подход, за поддържане на икономическата жизнеспособност“.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Style w:val="Strong"/>
          <w:rFonts w:ascii="Trebuchet MS" w:hAnsi="Trebuchet MS"/>
          <w:sz w:val="22"/>
          <w:szCs w:val="22"/>
        </w:rPr>
        <w:t>ПРОГРАМА INTERREG VI-A РУМЪНИЯ – БЪЛГАРИЯ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Style w:val="Strong"/>
          <w:rFonts w:ascii="Trebuchet MS" w:hAnsi="Trebuchet MS"/>
          <w:sz w:val="22"/>
          <w:szCs w:val="22"/>
        </w:rPr>
        <w:t>Идентификационен номер на проекта:</w:t>
      </w:r>
      <w:r w:rsidRPr="004F324B">
        <w:rPr>
          <w:rFonts w:ascii="Trebuchet MS" w:hAnsi="Trebuchet MS"/>
          <w:sz w:val="22"/>
          <w:szCs w:val="22"/>
        </w:rPr>
        <w:t xml:space="preserve"> ROBG00370</w:t>
      </w:r>
      <w:r w:rsidRPr="004F324B">
        <w:rPr>
          <w:rFonts w:ascii="Trebuchet MS" w:hAnsi="Trebuchet MS"/>
          <w:sz w:val="22"/>
          <w:szCs w:val="22"/>
        </w:rPr>
        <w:br/>
      </w:r>
      <w:r w:rsidRPr="004F324B">
        <w:rPr>
          <w:rStyle w:val="Strong"/>
          <w:rFonts w:ascii="Trebuchet MS" w:hAnsi="Trebuchet MS"/>
          <w:sz w:val="22"/>
          <w:szCs w:val="22"/>
        </w:rPr>
        <w:t>Акроним:</w:t>
      </w:r>
      <w:r w:rsidRPr="004F324B">
        <w:rPr>
          <w:rFonts w:ascii="Trebuchet MS" w:hAnsi="Trebuchet MS"/>
          <w:sz w:val="22"/>
          <w:szCs w:val="22"/>
        </w:rPr>
        <w:t xml:space="preserve"> VitiClimRoBg-Hard</w:t>
      </w:r>
      <w:r w:rsidRPr="004F324B">
        <w:rPr>
          <w:rFonts w:ascii="Trebuchet MS" w:hAnsi="Trebuchet MS"/>
          <w:sz w:val="22"/>
          <w:szCs w:val="22"/>
        </w:rPr>
        <w:br/>
      </w:r>
      <w:r w:rsidRPr="004F324B">
        <w:rPr>
          <w:rStyle w:val="Strong"/>
          <w:rFonts w:ascii="Trebuchet MS" w:hAnsi="Trebuchet MS"/>
          <w:sz w:val="22"/>
          <w:szCs w:val="22"/>
        </w:rPr>
        <w:t>Продължителност:</w:t>
      </w:r>
      <w:r w:rsidRPr="004F324B">
        <w:rPr>
          <w:rFonts w:ascii="Trebuchet MS" w:hAnsi="Trebuchet MS"/>
          <w:sz w:val="22"/>
          <w:szCs w:val="22"/>
        </w:rPr>
        <w:t xml:space="preserve"> декември 2025 – декември 2027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Style w:val="Strong"/>
          <w:rFonts w:ascii="Trebuchet MS" w:hAnsi="Trebuchet MS"/>
          <w:sz w:val="22"/>
          <w:szCs w:val="22"/>
        </w:rPr>
        <w:t>Общ бюджет:</w:t>
      </w:r>
      <w:r w:rsidRPr="004F324B">
        <w:rPr>
          <w:rFonts w:ascii="Trebuchet MS" w:hAnsi="Trebuchet MS"/>
          <w:sz w:val="22"/>
          <w:szCs w:val="22"/>
        </w:rPr>
        <w:t xml:space="preserve"> 1 610 750,22 евро</w:t>
      </w:r>
      <w:r w:rsidRPr="004F324B">
        <w:rPr>
          <w:rFonts w:ascii="Trebuchet MS" w:hAnsi="Trebuchet MS"/>
          <w:sz w:val="22"/>
          <w:szCs w:val="22"/>
        </w:rPr>
        <w:br/>
      </w:r>
      <w:r w:rsidRPr="004F324B">
        <w:rPr>
          <w:rStyle w:val="Strong"/>
          <w:rFonts w:ascii="Trebuchet MS" w:hAnsi="Trebuchet MS"/>
          <w:sz w:val="22"/>
          <w:szCs w:val="22"/>
        </w:rPr>
        <w:t>Финансиране:</w:t>
      </w:r>
      <w:r w:rsidRPr="004F324B">
        <w:rPr>
          <w:rFonts w:ascii="Trebuchet MS" w:hAnsi="Trebuchet MS"/>
          <w:sz w:val="22"/>
          <w:szCs w:val="22"/>
        </w:rPr>
        <w:t xml:space="preserve"> 1 288 600,16 евро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Style w:val="Strong"/>
          <w:rFonts w:ascii="Trebuchet MS" w:hAnsi="Trebuchet MS"/>
          <w:sz w:val="22"/>
          <w:szCs w:val="22"/>
        </w:rPr>
        <w:t>Приоритет на програмата:</w:t>
      </w:r>
      <w:r w:rsidRPr="004F324B">
        <w:rPr>
          <w:rFonts w:ascii="Trebuchet MS" w:hAnsi="Trebuchet MS"/>
          <w:sz w:val="22"/>
          <w:szCs w:val="22"/>
        </w:rPr>
        <w:t xml:space="preserve"> По-зелен регион</w:t>
      </w:r>
    </w:p>
    <w:p w:rsidR="004F324B" w:rsidRPr="004F324B" w:rsidRDefault="004F324B" w:rsidP="004F324B">
      <w:pPr>
        <w:pStyle w:val="NormalWeb"/>
        <w:rPr>
          <w:rFonts w:ascii="Trebuchet MS" w:hAnsi="Trebuchet MS"/>
          <w:sz w:val="22"/>
          <w:szCs w:val="22"/>
        </w:rPr>
      </w:pPr>
      <w:r w:rsidRPr="004F324B">
        <w:rPr>
          <w:rStyle w:val="Strong"/>
          <w:rFonts w:ascii="Trebuchet MS" w:hAnsi="Trebuchet MS"/>
          <w:sz w:val="22"/>
          <w:szCs w:val="22"/>
        </w:rPr>
        <w:t>Специфична цел:</w:t>
      </w:r>
      <w:r w:rsidRPr="004F324B">
        <w:rPr>
          <w:rFonts w:ascii="Trebuchet MS" w:hAnsi="Trebuchet MS"/>
          <w:sz w:val="22"/>
          <w:szCs w:val="22"/>
        </w:rPr>
        <w:br/>
        <w:t>S.O.2.4: Насърчаване на адаптацията към климатичните промени и превенция на риска от бедствия, повишаване на устойчивостта, като се отчитат подходи, базирани на екосистемите.</w:t>
      </w:r>
    </w:p>
    <w:p w:rsidR="004F324B" w:rsidRPr="007B32F1" w:rsidRDefault="004F324B" w:rsidP="004F324B">
      <w:pPr>
        <w:pStyle w:val="Heading2"/>
        <w:rPr>
          <w:rFonts w:ascii="Trebuchet MS" w:hAnsi="Trebuchet MS"/>
          <w:color w:val="auto"/>
          <w:sz w:val="22"/>
          <w:szCs w:val="22"/>
        </w:rPr>
      </w:pPr>
      <w:r w:rsidRPr="007B32F1">
        <w:rPr>
          <w:rStyle w:val="Strong"/>
          <w:rFonts w:ascii="Trebuchet MS" w:hAnsi="Trebuchet MS"/>
          <w:bCs w:val="0"/>
          <w:color w:val="auto"/>
          <w:sz w:val="22"/>
          <w:szCs w:val="22"/>
        </w:rPr>
        <w:t>Цел:</w:t>
      </w:r>
    </w:p>
    <w:p w:rsidR="004F324B" w:rsidRPr="008F4A39" w:rsidRDefault="004F324B" w:rsidP="007B32F1">
      <w:pPr>
        <w:pStyle w:val="NormalWeb"/>
        <w:jc w:val="both"/>
        <w:rPr>
          <w:rFonts w:ascii="Trebuchet MS" w:hAnsi="Trebuchet MS"/>
          <w:sz w:val="22"/>
          <w:szCs w:val="22"/>
        </w:rPr>
      </w:pPr>
      <w:r w:rsidRPr="008F4A39">
        <w:rPr>
          <w:rFonts w:ascii="Trebuchet MS" w:hAnsi="Trebuchet MS"/>
          <w:sz w:val="22"/>
          <w:szCs w:val="22"/>
        </w:rPr>
        <w:t>Проектът има за цел да изгради устойчиви на климатичните промени практи</w:t>
      </w:r>
      <w:bookmarkStart w:id="0" w:name="_GoBack"/>
      <w:bookmarkEnd w:id="0"/>
      <w:r w:rsidRPr="008F4A39">
        <w:rPr>
          <w:rFonts w:ascii="Trebuchet MS" w:hAnsi="Trebuchet MS"/>
          <w:sz w:val="22"/>
          <w:szCs w:val="22"/>
        </w:rPr>
        <w:t>ки и инфраструктура в лозарството в трансграничните региони на Югозападна Румъния и Северозападна България. Той е насочен към повишаване устойчивостта на лозята към климатичните промени чрез иновативни решения като прецизно лозарство, интелигентно управление на водните ресурси, зелени системи и трансгранично сътрудничество.</w:t>
      </w:r>
    </w:p>
    <w:p w:rsidR="004F324B" w:rsidRPr="008F4A39" w:rsidRDefault="004F324B" w:rsidP="007B32F1">
      <w:pPr>
        <w:pStyle w:val="NormalWeb"/>
        <w:jc w:val="both"/>
        <w:rPr>
          <w:rFonts w:ascii="Trebuchet MS" w:hAnsi="Trebuchet MS"/>
          <w:sz w:val="22"/>
          <w:szCs w:val="22"/>
        </w:rPr>
      </w:pPr>
      <w:r w:rsidRPr="008F4A39">
        <w:rPr>
          <w:rFonts w:ascii="Trebuchet MS" w:hAnsi="Trebuchet MS"/>
          <w:sz w:val="22"/>
          <w:szCs w:val="22"/>
        </w:rPr>
        <w:t>Чрез интегриране на дигитални технологии, създаване на съвместна мрежа и развитие на устойчива инфраструктура, проектът цели да защити лозарството и да гарантира неговата дългосрочна жизнеспособност.</w:t>
      </w:r>
    </w:p>
    <w:p w:rsidR="004F324B" w:rsidRPr="007B32F1" w:rsidRDefault="004F324B" w:rsidP="004F324B">
      <w:pPr>
        <w:pStyle w:val="Heading2"/>
        <w:rPr>
          <w:rFonts w:ascii="Trebuchet MS" w:hAnsi="Trebuchet MS"/>
          <w:color w:val="auto"/>
          <w:sz w:val="22"/>
          <w:szCs w:val="22"/>
        </w:rPr>
      </w:pPr>
      <w:r w:rsidRPr="007B32F1">
        <w:rPr>
          <w:rStyle w:val="Strong"/>
          <w:rFonts w:ascii="Trebuchet MS" w:hAnsi="Trebuchet MS"/>
          <w:bCs w:val="0"/>
          <w:color w:val="auto"/>
          <w:sz w:val="22"/>
          <w:szCs w:val="22"/>
        </w:rPr>
        <w:t>Дейности:</w:t>
      </w:r>
    </w:p>
    <w:p w:rsidR="004F324B" w:rsidRPr="008F4A39" w:rsidRDefault="004F324B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>Пилотно действие за климатично устойчиво лозарство (</w:t>
      </w:r>
      <w:r w:rsidRPr="008F4A39">
        <w:rPr>
          <w:rStyle w:val="Strong"/>
          <w:rFonts w:ascii="Trebuchet MS" w:hAnsi="Trebuchet MS"/>
          <w:sz w:val="22"/>
        </w:rPr>
        <w:t>VitiResearch</w:t>
      </w:r>
      <w:r w:rsidRPr="008F4A39">
        <w:rPr>
          <w:rFonts w:ascii="Trebuchet MS" w:hAnsi="Trebuchet MS"/>
          <w:sz w:val="22"/>
        </w:rPr>
        <w:t xml:space="preserve">) </w:t>
      </w:r>
    </w:p>
    <w:p w:rsidR="008F4A39" w:rsidRPr="008F4A39" w:rsidRDefault="004F324B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 xml:space="preserve">Трансгранична мрежа за сътрудничество за климатично адаптирано лозарство </w:t>
      </w:r>
      <w:r w:rsidR="008F4A39" w:rsidRPr="008F4A39">
        <w:rPr>
          <w:rFonts w:ascii="Trebuchet MS" w:hAnsi="Trebuchet MS"/>
          <w:sz w:val="22"/>
        </w:rPr>
        <w:t>Резултати:</w:t>
      </w:r>
    </w:p>
    <w:p w:rsidR="008F4A39" w:rsidRPr="008F4A39" w:rsidRDefault="008F4A39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 xml:space="preserve">• </w:t>
      </w:r>
      <w:r w:rsidRPr="008F4A39">
        <w:rPr>
          <w:rFonts w:ascii="Trebuchet MS" w:hAnsi="Trebuchet MS"/>
          <w:sz w:val="22"/>
        </w:rPr>
        <w:tab/>
        <w:t>Дигитална система за климатичен мониторинг и ранно предупреждение, която подпомага управлението на лозята и бързото вземане на решения при рискове.</w:t>
      </w:r>
    </w:p>
    <w:p w:rsidR="008F4A39" w:rsidRPr="008F4A39" w:rsidRDefault="008F4A39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 xml:space="preserve">• </w:t>
      </w:r>
      <w:r w:rsidRPr="008F4A39">
        <w:rPr>
          <w:rFonts w:ascii="Trebuchet MS" w:hAnsi="Trebuchet MS"/>
          <w:sz w:val="22"/>
        </w:rPr>
        <w:tab/>
        <w:t>Решения за прецизна витикултура и инфраструктура за адаптация, включително усъвършенстван мониторинг и интегриране на цифрови технологии.</w:t>
      </w:r>
    </w:p>
    <w:p w:rsidR="008F4A39" w:rsidRPr="008F4A39" w:rsidRDefault="008F4A39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lastRenderedPageBreak/>
        <w:t xml:space="preserve">• </w:t>
      </w:r>
      <w:r w:rsidRPr="008F4A39">
        <w:rPr>
          <w:rFonts w:ascii="Trebuchet MS" w:hAnsi="Trebuchet MS"/>
          <w:sz w:val="22"/>
        </w:rPr>
        <w:tab/>
        <w:t>Лозарски посадъчен материал и приложни изследвания: научна експертиза и разработване/анализ на генетични ресурси и сортове лози, по-устойчиви на климатичен стрес, подкрепени от лабораторна инфраструктура.</w:t>
      </w:r>
    </w:p>
    <w:p w:rsidR="008F4A39" w:rsidRPr="008F4A39" w:rsidRDefault="008F4A39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 xml:space="preserve">• </w:t>
      </w:r>
      <w:r w:rsidRPr="008F4A39">
        <w:rPr>
          <w:rFonts w:ascii="Trebuchet MS" w:hAnsi="Trebuchet MS"/>
          <w:sz w:val="22"/>
        </w:rPr>
        <w:tab/>
        <w:t>Мерки, основани на екосистемите, като зелена буферна зона, която защитава насажденията, подпомага биологичното разнообразие и допринася за устойчивостта на почвата.</w:t>
      </w:r>
    </w:p>
    <w:p w:rsidR="0016002D" w:rsidRPr="008F4A39" w:rsidRDefault="008F4A39" w:rsidP="008F4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2"/>
        </w:rPr>
      </w:pPr>
      <w:r w:rsidRPr="008F4A39">
        <w:rPr>
          <w:rFonts w:ascii="Trebuchet MS" w:hAnsi="Trebuchet MS"/>
          <w:sz w:val="22"/>
        </w:rPr>
        <w:t xml:space="preserve">• </w:t>
      </w:r>
      <w:r w:rsidRPr="008F4A39">
        <w:rPr>
          <w:rFonts w:ascii="Trebuchet MS" w:hAnsi="Trebuchet MS"/>
          <w:sz w:val="22"/>
        </w:rPr>
        <w:tab/>
        <w:t xml:space="preserve">Трансграничен център за сътрудничество, многоезична интерактивна платформа и последователни дейности за трансфер на знания: обучения, работилници, цифрови ресурси, материали и разпространение към лозари, изследователи, администрации и общности. </w:t>
      </w:r>
      <w:r w:rsidR="004F324B" w:rsidRPr="008F4A39">
        <w:rPr>
          <w:rFonts w:ascii="Trebuchet MS" w:hAnsi="Trebuchet MS"/>
          <w:sz w:val="22"/>
        </w:rPr>
        <w:t>(</w:t>
      </w:r>
      <w:r w:rsidR="004F324B" w:rsidRPr="008F4A39">
        <w:rPr>
          <w:rStyle w:val="Strong"/>
          <w:rFonts w:ascii="Trebuchet MS" w:hAnsi="Trebuchet MS"/>
          <w:sz w:val="22"/>
        </w:rPr>
        <w:t>VitiNet</w:t>
      </w:r>
      <w:r w:rsidR="004F324B" w:rsidRPr="008F4A39">
        <w:rPr>
          <w:rFonts w:ascii="Trebuchet MS" w:hAnsi="Trebuchet MS"/>
          <w:sz w:val="22"/>
        </w:rPr>
        <w:t>)</w:t>
      </w: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p w:rsidR="008F4A39" w:rsidRPr="004F324B" w:rsidRDefault="008F4A39" w:rsidP="008F4A39">
      <w:pPr>
        <w:spacing w:before="100" w:beforeAutospacing="1" w:after="100" w:afterAutospacing="1" w:line="240" w:lineRule="auto"/>
        <w:rPr>
          <w:rFonts w:ascii="Trebuchet MS" w:hAnsi="Trebuchet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50ED8" w:rsidRPr="00280E90" w:rsidTr="009C1BAB">
        <w:trPr>
          <w:cantSplit/>
          <w:trHeight w:val="1134"/>
        </w:trPr>
        <w:tc>
          <w:tcPr>
            <w:tcW w:w="9629" w:type="dxa"/>
            <w:vAlign w:val="center"/>
          </w:tcPr>
          <w:p w:rsidR="00444A6C" w:rsidRPr="008F4A39" w:rsidRDefault="00444A6C" w:rsidP="00444A6C">
            <w:pPr>
              <w:pStyle w:val="BodyText"/>
              <w:jc w:val="center"/>
              <w:rPr>
                <w:b/>
                <w:sz w:val="20"/>
                <w:szCs w:val="20"/>
                <w:lang w:val="bg-BG"/>
              </w:rPr>
            </w:pPr>
            <w:r w:rsidRPr="008F4A39">
              <w:rPr>
                <w:b/>
                <w:sz w:val="20"/>
                <w:szCs w:val="20"/>
                <w:lang w:val="bg-BG"/>
              </w:rPr>
              <w:t>Проект „Адаптиране на лозарството към климатичните промени чрез прилагане на мерки, базирани на екосистемния подход, за поддържане на икономическата жизнеспособност“</w:t>
            </w:r>
            <w:r w:rsidRPr="008F4A39">
              <w:rPr>
                <w:b/>
                <w:sz w:val="20"/>
                <w:szCs w:val="20"/>
                <w:lang w:val="bg-BG"/>
              </w:rPr>
              <w:br/>
              <w:t>Университет Крайова</w:t>
            </w:r>
            <w:r w:rsidRPr="008F4A39">
              <w:rPr>
                <w:b/>
                <w:sz w:val="20"/>
                <w:szCs w:val="20"/>
                <w:lang w:val="bg-BG"/>
              </w:rPr>
              <w:br/>
              <w:t>05.01.2026 г.</w:t>
            </w:r>
          </w:p>
          <w:p w:rsidR="00444A6C" w:rsidRPr="008F4A39" w:rsidRDefault="00444A6C" w:rsidP="00444A6C">
            <w:pPr>
              <w:pStyle w:val="BodyText"/>
              <w:jc w:val="center"/>
              <w:rPr>
                <w:b/>
                <w:sz w:val="20"/>
                <w:szCs w:val="20"/>
                <w:lang w:val="bg-BG"/>
              </w:rPr>
            </w:pPr>
            <w:r w:rsidRPr="008F4A39">
              <w:rPr>
                <w:b/>
                <w:sz w:val="20"/>
                <w:szCs w:val="20"/>
                <w:lang w:val="bg-BG"/>
              </w:rPr>
              <w:t>„Съдържанието на този материал не отразява непременно официалната позиция на Европейския съюз.“</w:t>
            </w:r>
          </w:p>
          <w:p w:rsidR="00450ED8" w:rsidRPr="00280E90" w:rsidRDefault="00450ED8" w:rsidP="00450ED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450ED8" w:rsidRPr="00280E90" w:rsidRDefault="00450ED8" w:rsidP="0016002D">
      <w:pPr>
        <w:rPr>
          <w:rFonts w:ascii="Trebuchet MS" w:hAnsi="Trebuchet MS"/>
        </w:rPr>
      </w:pPr>
    </w:p>
    <w:sectPr w:rsidR="00450ED8" w:rsidRPr="00280E90" w:rsidSect="004F324B">
      <w:pgSz w:w="11907" w:h="16840" w:code="9"/>
      <w:pgMar w:top="1134" w:right="1134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23" w:rsidRDefault="00344823" w:rsidP="003C5DFC">
      <w:pPr>
        <w:spacing w:after="0" w:line="240" w:lineRule="auto"/>
      </w:pPr>
      <w:r>
        <w:separator/>
      </w:r>
    </w:p>
  </w:endnote>
  <w:endnote w:type="continuationSeparator" w:id="0">
    <w:p w:rsidR="00344823" w:rsidRDefault="00344823" w:rsidP="003C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23" w:rsidRDefault="00344823" w:rsidP="003C5DFC">
      <w:pPr>
        <w:spacing w:after="0" w:line="240" w:lineRule="auto"/>
      </w:pPr>
      <w:r>
        <w:separator/>
      </w:r>
    </w:p>
  </w:footnote>
  <w:footnote w:type="continuationSeparator" w:id="0">
    <w:p w:rsidR="00344823" w:rsidRDefault="00344823" w:rsidP="003C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CC2"/>
    <w:multiLevelType w:val="multilevel"/>
    <w:tmpl w:val="3946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B5DF7"/>
    <w:multiLevelType w:val="hybridMultilevel"/>
    <w:tmpl w:val="D8801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16"/>
    <w:rsid w:val="000408EB"/>
    <w:rsid w:val="0016002D"/>
    <w:rsid w:val="001A1783"/>
    <w:rsid w:val="001D540C"/>
    <w:rsid w:val="00216890"/>
    <w:rsid w:val="00280E90"/>
    <w:rsid w:val="00344823"/>
    <w:rsid w:val="00356CFC"/>
    <w:rsid w:val="00361AEA"/>
    <w:rsid w:val="003C5DFC"/>
    <w:rsid w:val="004120E2"/>
    <w:rsid w:val="00444A6C"/>
    <w:rsid w:val="00450ED8"/>
    <w:rsid w:val="00455F24"/>
    <w:rsid w:val="00482941"/>
    <w:rsid w:val="00490D3D"/>
    <w:rsid w:val="004B1DEF"/>
    <w:rsid w:val="004D7303"/>
    <w:rsid w:val="004F324B"/>
    <w:rsid w:val="005E4CB3"/>
    <w:rsid w:val="005F76C4"/>
    <w:rsid w:val="00621F21"/>
    <w:rsid w:val="00663ACC"/>
    <w:rsid w:val="00665C33"/>
    <w:rsid w:val="006C37B7"/>
    <w:rsid w:val="00741387"/>
    <w:rsid w:val="007B321F"/>
    <w:rsid w:val="007B32F1"/>
    <w:rsid w:val="00814E3B"/>
    <w:rsid w:val="008C237F"/>
    <w:rsid w:val="008F4A39"/>
    <w:rsid w:val="009111D2"/>
    <w:rsid w:val="009A0316"/>
    <w:rsid w:val="009A21D1"/>
    <w:rsid w:val="00B34916"/>
    <w:rsid w:val="00B84B44"/>
    <w:rsid w:val="00C81B12"/>
    <w:rsid w:val="00C939CD"/>
    <w:rsid w:val="00CC0FED"/>
    <w:rsid w:val="00D22A48"/>
    <w:rsid w:val="00D26722"/>
    <w:rsid w:val="00D33B40"/>
    <w:rsid w:val="00E37B3F"/>
    <w:rsid w:val="00E972F7"/>
    <w:rsid w:val="00F11795"/>
    <w:rsid w:val="00F23BBA"/>
    <w:rsid w:val="00F26E35"/>
    <w:rsid w:val="00FA247C"/>
    <w:rsid w:val="00FA319E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796D-E686-4BA4-B417-78A250E0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002D"/>
    <w:pPr>
      <w:spacing w:after="0" w:line="240" w:lineRule="auto"/>
      <w:ind w:left="597"/>
      <w:outlineLvl w:val="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6C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2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3C5D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5D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5DFC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50ED8"/>
    <w:pPr>
      <w:spacing w:after="0" w:line="240" w:lineRule="auto"/>
    </w:pPr>
    <w:rPr>
      <w:rFonts w:ascii="Trebuchet MS" w:eastAsia="Trebuchet MS" w:hAnsi="Trebuchet MS" w:cs="Trebuchet MS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50ED8"/>
    <w:rPr>
      <w:rFonts w:ascii="Trebuchet MS" w:eastAsia="Trebuchet MS" w:hAnsi="Trebuchet MS" w:cs="Trebuchet MS"/>
      <w:szCs w:val="28"/>
    </w:rPr>
  </w:style>
  <w:style w:type="table" w:styleId="PlainTable3">
    <w:name w:val="Plain Table 3"/>
    <w:basedOn w:val="TableNormal"/>
    <w:uiPriority w:val="43"/>
    <w:rsid w:val="002168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16002D"/>
    <w:rPr>
      <w:rFonts w:ascii="Trebuchet MS" w:eastAsia="Trebuchet MS" w:hAnsi="Trebuchet MS" w:cs="Trebuchet MS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F3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1283-AD20-4F2B-A6F6-4CCFBF9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LENOVO</cp:lastModifiedBy>
  <cp:revision>6</cp:revision>
  <dcterms:created xsi:type="dcterms:W3CDTF">2026-04-06T07:41:00Z</dcterms:created>
  <dcterms:modified xsi:type="dcterms:W3CDTF">2026-04-07T11:49:00Z</dcterms:modified>
</cp:coreProperties>
</file>